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D193" w14:textId="77777777" w:rsidR="004B1989" w:rsidRPr="00DB182E" w:rsidRDefault="004B1989" w:rsidP="004B1989">
      <w:pPr>
        <w:jc w:val="center"/>
        <w:rPr>
          <w:b/>
          <w:bCs/>
        </w:rPr>
      </w:pPr>
      <w:r w:rsidRPr="00DB182E">
        <w:rPr>
          <w:b/>
          <w:bCs/>
        </w:rPr>
        <w:t>Mississippi Department of Education</w:t>
      </w:r>
    </w:p>
    <w:p w14:paraId="10A2B8BD" w14:textId="77777777" w:rsidR="004B1989" w:rsidRPr="00DB182E" w:rsidRDefault="004B1989" w:rsidP="004B1989">
      <w:pPr>
        <w:jc w:val="center"/>
        <w:rPr>
          <w:b/>
          <w:bCs/>
        </w:rPr>
      </w:pPr>
      <w:r w:rsidRPr="00DB182E">
        <w:rPr>
          <w:b/>
          <w:bCs/>
        </w:rPr>
        <w:t>Office of Federal Programs</w:t>
      </w:r>
    </w:p>
    <w:p w14:paraId="4D95F750" w14:textId="77777777" w:rsidR="004B1989" w:rsidRPr="00DB182E" w:rsidRDefault="004B1989" w:rsidP="004B1989">
      <w:pPr>
        <w:jc w:val="center"/>
        <w:rPr>
          <w:b/>
          <w:bCs/>
        </w:rPr>
      </w:pPr>
    </w:p>
    <w:p w14:paraId="0D3D8AF0" w14:textId="0721AACD" w:rsidR="004B1989" w:rsidRPr="00DB182E" w:rsidRDefault="004B1989" w:rsidP="004B1989">
      <w:pPr>
        <w:jc w:val="center"/>
        <w:rPr>
          <w:b/>
          <w:bCs/>
        </w:rPr>
      </w:pPr>
      <w:r w:rsidRPr="00DB182E">
        <w:rPr>
          <w:b/>
          <w:bCs/>
        </w:rPr>
        <w:t xml:space="preserve">2019-2020 </w:t>
      </w:r>
      <w:r w:rsidR="00C81FF3" w:rsidRPr="00DB182E">
        <w:rPr>
          <w:b/>
          <w:bCs/>
        </w:rPr>
        <w:t xml:space="preserve">Title IV-A </w:t>
      </w:r>
      <w:r w:rsidRPr="00DB182E">
        <w:rPr>
          <w:b/>
          <w:bCs/>
        </w:rPr>
        <w:t xml:space="preserve">Public Reporting </w:t>
      </w:r>
    </w:p>
    <w:p w14:paraId="533501F6" w14:textId="77777777" w:rsidR="00DB182E" w:rsidRPr="00DB182E" w:rsidRDefault="00DB182E" w:rsidP="004B1989"/>
    <w:p w14:paraId="15096A42" w14:textId="00614534" w:rsidR="004B1989" w:rsidRPr="00DB182E" w:rsidRDefault="00DB182E" w:rsidP="004B1989">
      <w:r w:rsidRPr="00DB182E">
        <w:t>The Title IV, Part A Student Support and Academic Enrichment Grants</w:t>
      </w:r>
      <w:r w:rsidR="006F611A">
        <w:t xml:space="preserve"> (SSAE)</w:t>
      </w:r>
      <w:r w:rsidRPr="00DB182E">
        <w:t xml:space="preserve"> are used to improve student academic achievement by increasing the capacity of States, local educational agencies, schools, and local communities to provide the following:</w:t>
      </w:r>
    </w:p>
    <w:p w14:paraId="2C86182F" w14:textId="77777777" w:rsidR="00DB182E" w:rsidRPr="00DB182E" w:rsidRDefault="00DB182E" w:rsidP="004B1989"/>
    <w:p w14:paraId="253E200C" w14:textId="77777777" w:rsidR="004B1989" w:rsidRPr="00DB182E" w:rsidRDefault="004B1989" w:rsidP="004B1989">
      <w:pPr>
        <w:pStyle w:val="ListParagraph"/>
        <w:numPr>
          <w:ilvl w:val="0"/>
          <w:numId w:val="1"/>
        </w:numPr>
      </w:pPr>
      <w:r w:rsidRPr="00DB182E">
        <w:t>Access to a well-rounded education</w:t>
      </w:r>
    </w:p>
    <w:p w14:paraId="5B603D6E" w14:textId="3FB6A29C" w:rsidR="004B1989" w:rsidRPr="00DB182E" w:rsidRDefault="00C81FF3" w:rsidP="004B1989">
      <w:pPr>
        <w:pStyle w:val="ListParagraph"/>
        <w:numPr>
          <w:ilvl w:val="0"/>
          <w:numId w:val="1"/>
        </w:numPr>
      </w:pPr>
      <w:r w:rsidRPr="00DB182E">
        <w:t>Improvement</w:t>
      </w:r>
      <w:r w:rsidR="00DB182E" w:rsidRPr="00DB182E">
        <w:t xml:space="preserve"> of</w:t>
      </w:r>
      <w:r w:rsidR="004B1989" w:rsidRPr="00DB182E">
        <w:t xml:space="preserve"> school conditions for student learning</w:t>
      </w:r>
      <w:r w:rsidR="00DB182E" w:rsidRPr="00DB182E">
        <w:t xml:space="preserve"> (</w:t>
      </w:r>
      <w:r w:rsidR="004B1989" w:rsidRPr="00DB182E">
        <w:t>safe and healthy students</w:t>
      </w:r>
      <w:r w:rsidR="00DB182E" w:rsidRPr="00DB182E">
        <w:t>)</w:t>
      </w:r>
    </w:p>
    <w:p w14:paraId="16219355" w14:textId="112509E9" w:rsidR="004B1989" w:rsidRPr="00DB182E" w:rsidRDefault="00DB182E" w:rsidP="004B1989">
      <w:pPr>
        <w:pStyle w:val="ListParagraph"/>
        <w:numPr>
          <w:ilvl w:val="0"/>
          <w:numId w:val="1"/>
        </w:numPr>
      </w:pPr>
      <w:r w:rsidRPr="00DB182E">
        <w:t xml:space="preserve">Improvement of </w:t>
      </w:r>
      <w:r w:rsidR="004B1989" w:rsidRPr="00DB182E">
        <w:t>the academic achievement and digital literacy of all students</w:t>
      </w:r>
      <w:r w:rsidRPr="00DB182E">
        <w:t xml:space="preserve"> through the effective use of technology. </w:t>
      </w:r>
    </w:p>
    <w:p w14:paraId="19B78767" w14:textId="77777777" w:rsidR="007A2102" w:rsidRPr="00DB182E" w:rsidRDefault="007A2102" w:rsidP="004B1989"/>
    <w:p w14:paraId="13C69FF5" w14:textId="14D6139F" w:rsidR="006F611A" w:rsidRDefault="006F611A" w:rsidP="006F611A">
      <w:r w:rsidRPr="006F611A">
        <w:t>Local Educational Agenc</w:t>
      </w:r>
      <w:r>
        <w:t>ies</w:t>
      </w:r>
      <w:r w:rsidRPr="006F611A">
        <w:t xml:space="preserve"> (LEA</w:t>
      </w:r>
      <w:r>
        <w:t>s</w:t>
      </w:r>
      <w:r w:rsidRPr="006F611A">
        <w:t>) that receive at least $30,000 in SSAE program funds must conduct a comprehensive needs assessment that includes, at a minimum, a focus on the three content areas identified</w:t>
      </w:r>
      <w:r>
        <w:t xml:space="preserve"> below</w:t>
      </w:r>
      <w:r w:rsidRPr="006F611A">
        <w:t>.</w:t>
      </w:r>
      <w:r>
        <w:t xml:space="preserve"> B</w:t>
      </w:r>
      <w:r w:rsidRPr="006F611A">
        <w:t>ased on the results of that assessment, the LEA must use:</w:t>
      </w:r>
    </w:p>
    <w:p w14:paraId="3A95EE93" w14:textId="77777777" w:rsidR="006F611A" w:rsidRDefault="006F611A" w:rsidP="006F611A"/>
    <w:p w14:paraId="274F0C12" w14:textId="65A2CBA2" w:rsidR="006F611A" w:rsidRPr="006F611A" w:rsidRDefault="006F611A" w:rsidP="006F611A">
      <w:pPr>
        <w:pStyle w:val="ListParagraph"/>
        <w:numPr>
          <w:ilvl w:val="0"/>
          <w:numId w:val="3"/>
        </w:numPr>
      </w:pPr>
      <w:r w:rsidRPr="006F611A">
        <w:t>At least 20</w:t>
      </w:r>
      <w:r>
        <w:t>%</w:t>
      </w:r>
      <w:r w:rsidRPr="006F611A">
        <w:t xml:space="preserve"> of funds for activities to support well-rounded educational opportunities</w:t>
      </w:r>
    </w:p>
    <w:p w14:paraId="67B58E1A" w14:textId="4A4574E8" w:rsidR="006F611A" w:rsidRPr="006F611A" w:rsidRDefault="006F611A" w:rsidP="006F611A">
      <w:pPr>
        <w:pStyle w:val="ListParagraph"/>
        <w:numPr>
          <w:ilvl w:val="0"/>
          <w:numId w:val="3"/>
        </w:numPr>
      </w:pPr>
      <w:r w:rsidRPr="006F611A">
        <w:t>At least 20</w:t>
      </w:r>
      <w:r>
        <w:t xml:space="preserve">% </w:t>
      </w:r>
      <w:r w:rsidRPr="006F611A">
        <w:t>of funds for activities to support safe and healthy students</w:t>
      </w:r>
    </w:p>
    <w:p w14:paraId="5AE5E9C5" w14:textId="01FE3C17" w:rsidR="006F611A" w:rsidRPr="006F611A" w:rsidRDefault="006F611A" w:rsidP="006F611A">
      <w:pPr>
        <w:pStyle w:val="ListParagraph"/>
        <w:numPr>
          <w:ilvl w:val="0"/>
          <w:numId w:val="3"/>
        </w:numPr>
      </w:pPr>
      <w:r w:rsidRPr="006F611A">
        <w:t>A portion of funds for activities to support effective use of technology</w:t>
      </w:r>
    </w:p>
    <w:p w14:paraId="1689B52A" w14:textId="77777777" w:rsidR="004B1989" w:rsidRPr="00DB182E" w:rsidRDefault="004B1989" w:rsidP="004B1989"/>
    <w:p w14:paraId="56EABA86" w14:textId="77777777" w:rsidR="00C81FF3" w:rsidRPr="00DB182E" w:rsidRDefault="004B1989" w:rsidP="00C81FF3">
      <w:pPr>
        <w:jc w:val="center"/>
        <w:rPr>
          <w:b/>
          <w:bCs/>
          <w:sz w:val="28"/>
          <w:szCs w:val="28"/>
        </w:rPr>
      </w:pPr>
      <w:r w:rsidRPr="00DB182E">
        <w:rPr>
          <w:b/>
          <w:bCs/>
          <w:sz w:val="28"/>
          <w:szCs w:val="28"/>
        </w:rPr>
        <w:t>Title IV-A</w:t>
      </w:r>
      <w:r w:rsidR="00515ACD" w:rsidRPr="00DB182E">
        <w:rPr>
          <w:b/>
          <w:bCs/>
          <w:sz w:val="28"/>
          <w:szCs w:val="28"/>
        </w:rPr>
        <w:t xml:space="preserve"> </w:t>
      </w:r>
      <w:r w:rsidR="00C81FF3" w:rsidRPr="00DB182E">
        <w:rPr>
          <w:b/>
          <w:bCs/>
          <w:sz w:val="28"/>
          <w:szCs w:val="28"/>
        </w:rPr>
        <w:t xml:space="preserve">LEA </w:t>
      </w:r>
      <w:r w:rsidR="00515ACD" w:rsidRPr="00DB182E">
        <w:rPr>
          <w:b/>
          <w:bCs/>
          <w:sz w:val="28"/>
          <w:szCs w:val="28"/>
        </w:rPr>
        <w:t>Expenditure Summary</w:t>
      </w:r>
      <w:r w:rsidR="00C81FF3" w:rsidRPr="00DB182E">
        <w:rPr>
          <w:b/>
          <w:bCs/>
          <w:sz w:val="28"/>
          <w:szCs w:val="28"/>
        </w:rPr>
        <w:t xml:space="preserve"> </w:t>
      </w:r>
    </w:p>
    <w:p w14:paraId="3BF7D22B" w14:textId="221691F9" w:rsidR="004B1989" w:rsidRPr="00DB182E" w:rsidRDefault="00C81FF3" w:rsidP="00C81FF3">
      <w:pPr>
        <w:jc w:val="center"/>
        <w:rPr>
          <w:sz w:val="28"/>
          <w:szCs w:val="28"/>
        </w:rPr>
      </w:pPr>
      <w:r w:rsidRPr="00DB182E">
        <w:rPr>
          <w:sz w:val="28"/>
          <w:szCs w:val="28"/>
        </w:rPr>
        <w:t>(</w:t>
      </w:r>
      <w:r w:rsidRPr="00DB182E">
        <w:t>Between July 1, 2019 and June 30, 2020)</w:t>
      </w:r>
    </w:p>
    <w:p w14:paraId="1317EC28" w14:textId="77777777" w:rsidR="004B1989" w:rsidRPr="00DB182E" w:rsidRDefault="004B1989" w:rsidP="004B19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1989" w:rsidRPr="00DB182E" w14:paraId="547E16FC" w14:textId="77777777" w:rsidTr="00245E5E">
        <w:tc>
          <w:tcPr>
            <w:tcW w:w="3116" w:type="dxa"/>
          </w:tcPr>
          <w:p w14:paraId="17CB6FF5" w14:textId="77777777" w:rsidR="004B1989" w:rsidRPr="00DB182E" w:rsidRDefault="004B1989" w:rsidP="007A2102">
            <w:pPr>
              <w:jc w:val="center"/>
              <w:rPr>
                <w:b/>
                <w:bCs/>
              </w:rPr>
            </w:pPr>
            <w:r w:rsidRPr="00DB182E">
              <w:rPr>
                <w:b/>
                <w:bCs/>
              </w:rPr>
              <w:t>Content Area</w:t>
            </w:r>
          </w:p>
        </w:tc>
        <w:tc>
          <w:tcPr>
            <w:tcW w:w="3117" w:type="dxa"/>
          </w:tcPr>
          <w:p w14:paraId="7292D108" w14:textId="6DF450AD" w:rsidR="004B1989" w:rsidRPr="00DB182E" w:rsidRDefault="004B1989" w:rsidP="007A2102">
            <w:pPr>
              <w:jc w:val="center"/>
              <w:rPr>
                <w:b/>
                <w:bCs/>
              </w:rPr>
            </w:pPr>
            <w:r w:rsidRPr="00DB182E">
              <w:rPr>
                <w:b/>
                <w:bCs/>
              </w:rPr>
              <w:t>Number of LEAs</w:t>
            </w:r>
          </w:p>
        </w:tc>
        <w:tc>
          <w:tcPr>
            <w:tcW w:w="3117" w:type="dxa"/>
          </w:tcPr>
          <w:p w14:paraId="056A279B" w14:textId="77777777" w:rsidR="004B1989" w:rsidRPr="00DB182E" w:rsidRDefault="004B1989" w:rsidP="007A2102">
            <w:pPr>
              <w:jc w:val="center"/>
              <w:rPr>
                <w:b/>
                <w:bCs/>
              </w:rPr>
            </w:pPr>
            <w:r w:rsidRPr="00DB182E">
              <w:rPr>
                <w:b/>
                <w:bCs/>
              </w:rPr>
              <w:t>Amount of Funds Spent</w:t>
            </w:r>
          </w:p>
        </w:tc>
      </w:tr>
      <w:tr w:rsidR="004B1989" w:rsidRPr="00DB182E" w14:paraId="0DCB38F1" w14:textId="77777777" w:rsidTr="00245E5E">
        <w:tc>
          <w:tcPr>
            <w:tcW w:w="3116" w:type="dxa"/>
          </w:tcPr>
          <w:p w14:paraId="0444ABCD" w14:textId="77777777" w:rsidR="004B1989" w:rsidRPr="00DB182E" w:rsidRDefault="004B1989" w:rsidP="00245E5E">
            <w:r w:rsidRPr="00DB182E">
              <w:t>Well-Rounded Education</w:t>
            </w:r>
          </w:p>
        </w:tc>
        <w:tc>
          <w:tcPr>
            <w:tcW w:w="3117" w:type="dxa"/>
          </w:tcPr>
          <w:p w14:paraId="597F7A50" w14:textId="77777777" w:rsidR="004B1989" w:rsidRPr="00DB182E" w:rsidRDefault="004B1989" w:rsidP="00245E5E">
            <w:r w:rsidRPr="00DB182E">
              <w:t>118</w:t>
            </w:r>
          </w:p>
        </w:tc>
        <w:tc>
          <w:tcPr>
            <w:tcW w:w="3117" w:type="dxa"/>
          </w:tcPr>
          <w:p w14:paraId="0A843AAA" w14:textId="77777777" w:rsidR="004B1989" w:rsidRPr="00DB182E" w:rsidRDefault="004B1989" w:rsidP="00245E5E">
            <w:r w:rsidRPr="00DB182E">
              <w:t>$3,389,298.07</w:t>
            </w:r>
          </w:p>
        </w:tc>
      </w:tr>
      <w:tr w:rsidR="004B1989" w:rsidRPr="00DB182E" w14:paraId="226D67B0" w14:textId="77777777" w:rsidTr="00245E5E">
        <w:tc>
          <w:tcPr>
            <w:tcW w:w="3116" w:type="dxa"/>
          </w:tcPr>
          <w:p w14:paraId="48543D55" w14:textId="77777777" w:rsidR="004B1989" w:rsidRPr="00DB182E" w:rsidRDefault="004B1989" w:rsidP="00245E5E">
            <w:r w:rsidRPr="00DB182E">
              <w:t>Safe and Healthy Students</w:t>
            </w:r>
          </w:p>
        </w:tc>
        <w:tc>
          <w:tcPr>
            <w:tcW w:w="3117" w:type="dxa"/>
          </w:tcPr>
          <w:p w14:paraId="62C1C02A" w14:textId="77777777" w:rsidR="004B1989" w:rsidRPr="00DB182E" w:rsidRDefault="004B1989" w:rsidP="00245E5E">
            <w:r w:rsidRPr="00DB182E">
              <w:t>80</w:t>
            </w:r>
          </w:p>
        </w:tc>
        <w:tc>
          <w:tcPr>
            <w:tcW w:w="3117" w:type="dxa"/>
          </w:tcPr>
          <w:p w14:paraId="3DF606BD" w14:textId="77777777" w:rsidR="004B1989" w:rsidRPr="00DB182E" w:rsidRDefault="004B1989" w:rsidP="00245E5E">
            <w:r w:rsidRPr="00DB182E">
              <w:t>$1,630,329.44</w:t>
            </w:r>
          </w:p>
        </w:tc>
      </w:tr>
      <w:tr w:rsidR="004B1989" w:rsidRPr="00DB182E" w14:paraId="5998C224" w14:textId="77777777" w:rsidTr="00245E5E">
        <w:tc>
          <w:tcPr>
            <w:tcW w:w="3116" w:type="dxa"/>
          </w:tcPr>
          <w:p w14:paraId="5A2F9B69" w14:textId="77777777" w:rsidR="004B1989" w:rsidRPr="00DB182E" w:rsidRDefault="004B1989" w:rsidP="00245E5E">
            <w:r w:rsidRPr="00DB182E">
              <w:t>Effective use of Technology</w:t>
            </w:r>
          </w:p>
        </w:tc>
        <w:tc>
          <w:tcPr>
            <w:tcW w:w="3117" w:type="dxa"/>
          </w:tcPr>
          <w:p w14:paraId="6F69E821" w14:textId="77777777" w:rsidR="004B1989" w:rsidRPr="00DB182E" w:rsidRDefault="004B1989" w:rsidP="00245E5E">
            <w:r w:rsidRPr="00DB182E">
              <w:t>59</w:t>
            </w:r>
          </w:p>
        </w:tc>
        <w:tc>
          <w:tcPr>
            <w:tcW w:w="3117" w:type="dxa"/>
          </w:tcPr>
          <w:p w14:paraId="4CFB23C9" w14:textId="77777777" w:rsidR="004B1989" w:rsidRPr="00DB182E" w:rsidRDefault="004B1989" w:rsidP="00245E5E">
            <w:r w:rsidRPr="00DB182E">
              <w:t>$707,818.00</w:t>
            </w:r>
          </w:p>
        </w:tc>
      </w:tr>
      <w:tr w:rsidR="004B1989" w:rsidRPr="00DB182E" w14:paraId="0F8AAB58" w14:textId="77777777" w:rsidTr="00245E5E">
        <w:tc>
          <w:tcPr>
            <w:tcW w:w="3116" w:type="dxa"/>
          </w:tcPr>
          <w:p w14:paraId="545CBD0A" w14:textId="5889D0BF" w:rsidR="004B1989" w:rsidRPr="00DB182E" w:rsidRDefault="00C81FF3" w:rsidP="00245E5E">
            <w:r w:rsidRPr="00DB182E">
              <w:t>*</w:t>
            </w:r>
            <w:r w:rsidR="004B1989" w:rsidRPr="00DB182E">
              <w:t>Any Content Area</w:t>
            </w:r>
          </w:p>
        </w:tc>
        <w:tc>
          <w:tcPr>
            <w:tcW w:w="3117" w:type="dxa"/>
          </w:tcPr>
          <w:p w14:paraId="04CCF9EF" w14:textId="77777777" w:rsidR="004B1989" w:rsidRPr="00DB182E" w:rsidRDefault="004B1989" w:rsidP="00245E5E">
            <w:r w:rsidRPr="00DB182E">
              <w:t>129</w:t>
            </w:r>
          </w:p>
        </w:tc>
        <w:tc>
          <w:tcPr>
            <w:tcW w:w="3117" w:type="dxa"/>
          </w:tcPr>
          <w:p w14:paraId="469CFC5F" w14:textId="5F73AE7C" w:rsidR="004B1989" w:rsidRPr="00DB182E" w:rsidRDefault="007A2102" w:rsidP="00245E5E">
            <w:pPr>
              <w:rPr>
                <w:b/>
                <w:bCs/>
              </w:rPr>
            </w:pPr>
            <w:r w:rsidRPr="00DB182E">
              <w:rPr>
                <w:b/>
                <w:bCs/>
              </w:rPr>
              <w:t>$5,727,445.51</w:t>
            </w:r>
          </w:p>
        </w:tc>
      </w:tr>
    </w:tbl>
    <w:p w14:paraId="06AC4FB2" w14:textId="3966CD9E" w:rsidR="004B1989" w:rsidRPr="00DB182E" w:rsidRDefault="004B1989" w:rsidP="004B1989"/>
    <w:p w14:paraId="772C4ADF" w14:textId="308F8B60" w:rsidR="00C81FF3" w:rsidRPr="00DB182E" w:rsidRDefault="00C81FF3" w:rsidP="00C81FF3">
      <w:r w:rsidRPr="00DB182E">
        <w:t>*The “Any” category reports the total number of LEAs that spent funds in either of the three content areas.</w:t>
      </w:r>
    </w:p>
    <w:p w14:paraId="37EB027C" w14:textId="77777777" w:rsidR="00C81FF3" w:rsidRPr="00DB182E" w:rsidRDefault="00C81FF3" w:rsidP="004B1989"/>
    <w:p w14:paraId="293FDD88" w14:textId="77777777" w:rsidR="00C81FF3" w:rsidRPr="00DB182E" w:rsidRDefault="00515ACD" w:rsidP="00C81FF3">
      <w:pPr>
        <w:jc w:val="center"/>
        <w:rPr>
          <w:b/>
          <w:bCs/>
          <w:sz w:val="28"/>
          <w:szCs w:val="28"/>
        </w:rPr>
      </w:pPr>
      <w:r w:rsidRPr="00DB182E">
        <w:rPr>
          <w:b/>
          <w:bCs/>
          <w:sz w:val="28"/>
          <w:szCs w:val="28"/>
        </w:rPr>
        <w:t xml:space="preserve">Title IV-A </w:t>
      </w:r>
      <w:r w:rsidR="00C81FF3" w:rsidRPr="00DB182E">
        <w:rPr>
          <w:b/>
          <w:bCs/>
          <w:sz w:val="28"/>
          <w:szCs w:val="28"/>
        </w:rPr>
        <w:t xml:space="preserve">LEA </w:t>
      </w:r>
      <w:r w:rsidR="004B1989" w:rsidRPr="00DB182E">
        <w:rPr>
          <w:b/>
          <w:bCs/>
          <w:sz w:val="28"/>
          <w:szCs w:val="28"/>
        </w:rPr>
        <w:t xml:space="preserve">Transfer </w:t>
      </w:r>
      <w:r w:rsidRPr="00DB182E">
        <w:rPr>
          <w:b/>
          <w:bCs/>
          <w:sz w:val="28"/>
          <w:szCs w:val="28"/>
        </w:rPr>
        <w:t>Summary</w:t>
      </w:r>
      <w:r w:rsidR="00C81FF3" w:rsidRPr="00DB182E">
        <w:rPr>
          <w:b/>
          <w:bCs/>
          <w:sz w:val="28"/>
          <w:szCs w:val="28"/>
        </w:rPr>
        <w:t xml:space="preserve"> </w:t>
      </w:r>
    </w:p>
    <w:p w14:paraId="1B7A0475" w14:textId="060281F2" w:rsidR="004B1989" w:rsidRPr="00DB182E" w:rsidRDefault="00C81FF3" w:rsidP="00C81FF3">
      <w:pPr>
        <w:jc w:val="center"/>
        <w:rPr>
          <w:sz w:val="28"/>
          <w:szCs w:val="28"/>
        </w:rPr>
      </w:pPr>
      <w:r w:rsidRPr="00DB182E">
        <w:rPr>
          <w:sz w:val="28"/>
          <w:szCs w:val="28"/>
        </w:rPr>
        <w:t>(</w:t>
      </w:r>
      <w:r w:rsidRPr="00DB182E">
        <w:t>Between July 1, 2019 and June 30, 2020)</w:t>
      </w:r>
    </w:p>
    <w:p w14:paraId="3309B719" w14:textId="77777777" w:rsidR="004B1989" w:rsidRPr="00DB182E" w:rsidRDefault="004B1989" w:rsidP="004B19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1989" w:rsidRPr="00DB182E" w14:paraId="2EC25390" w14:textId="77777777" w:rsidTr="00245E5E">
        <w:tc>
          <w:tcPr>
            <w:tcW w:w="9350" w:type="dxa"/>
            <w:gridSpan w:val="2"/>
          </w:tcPr>
          <w:p w14:paraId="16C21593" w14:textId="430A9E31" w:rsidR="004B1989" w:rsidRPr="00DB182E" w:rsidRDefault="00515ACD" w:rsidP="00515ACD">
            <w:pPr>
              <w:jc w:val="center"/>
              <w:rPr>
                <w:b/>
                <w:bCs/>
              </w:rPr>
            </w:pPr>
            <w:r w:rsidRPr="00DB182E">
              <w:rPr>
                <w:b/>
                <w:bCs/>
              </w:rPr>
              <w:t>Funds Transferred from Title IV-A t</w:t>
            </w:r>
            <w:r w:rsidR="004B1989" w:rsidRPr="00DB182E">
              <w:rPr>
                <w:b/>
                <w:bCs/>
              </w:rPr>
              <w:t>o Title I-A</w:t>
            </w:r>
          </w:p>
        </w:tc>
      </w:tr>
      <w:tr w:rsidR="004B1989" w:rsidRPr="00DB182E" w14:paraId="701D08A3" w14:textId="77777777" w:rsidTr="00245E5E">
        <w:tc>
          <w:tcPr>
            <w:tcW w:w="4675" w:type="dxa"/>
          </w:tcPr>
          <w:p w14:paraId="700C86C3" w14:textId="72C650B2" w:rsidR="004B1989" w:rsidRPr="00DB182E" w:rsidRDefault="00515ACD" w:rsidP="00245E5E">
            <w:r w:rsidRPr="00DB182E">
              <w:t xml:space="preserve">Total </w:t>
            </w:r>
            <w:r w:rsidR="004B1989" w:rsidRPr="00DB182E">
              <w:t>Number of LEAs</w:t>
            </w:r>
          </w:p>
        </w:tc>
        <w:tc>
          <w:tcPr>
            <w:tcW w:w="4675" w:type="dxa"/>
          </w:tcPr>
          <w:p w14:paraId="2B9AE3AC" w14:textId="1851942D" w:rsidR="004B1989" w:rsidRPr="00DB182E" w:rsidRDefault="00515ACD" w:rsidP="00245E5E">
            <w:r w:rsidRPr="00DB182E">
              <w:t xml:space="preserve">Total </w:t>
            </w:r>
            <w:r w:rsidR="004B1989" w:rsidRPr="00DB182E">
              <w:t>Amount of the Funds Transferred</w:t>
            </w:r>
          </w:p>
        </w:tc>
      </w:tr>
      <w:tr w:rsidR="004B1989" w:rsidRPr="00DB182E" w14:paraId="57F8E038" w14:textId="77777777" w:rsidTr="00245E5E">
        <w:tc>
          <w:tcPr>
            <w:tcW w:w="4675" w:type="dxa"/>
          </w:tcPr>
          <w:p w14:paraId="24E1362D" w14:textId="77777777" w:rsidR="004B1989" w:rsidRPr="00DB182E" w:rsidRDefault="004B1989" w:rsidP="00245E5E">
            <w:r w:rsidRPr="00DB182E">
              <w:t>66</w:t>
            </w:r>
          </w:p>
        </w:tc>
        <w:tc>
          <w:tcPr>
            <w:tcW w:w="4675" w:type="dxa"/>
          </w:tcPr>
          <w:p w14:paraId="6EE8119E" w14:textId="5324BA4A" w:rsidR="004B1989" w:rsidRPr="00DB182E" w:rsidRDefault="004B1989" w:rsidP="00245E5E">
            <w:r w:rsidRPr="00DB182E">
              <w:t>$3,180,372</w:t>
            </w:r>
            <w:r w:rsidR="00C81FF3" w:rsidRPr="00DB182E">
              <w:t>.00</w:t>
            </w:r>
          </w:p>
        </w:tc>
      </w:tr>
    </w:tbl>
    <w:p w14:paraId="01BEAE12" w14:textId="77777777" w:rsidR="004B1989" w:rsidRPr="00DB182E" w:rsidRDefault="004B1989" w:rsidP="004B1989"/>
    <w:p w14:paraId="0B28A755" w14:textId="5553649B" w:rsidR="004B1989" w:rsidRPr="00DB182E" w:rsidRDefault="004B1989" w:rsidP="004B1989">
      <w:r w:rsidRPr="00DB182E">
        <w:t xml:space="preserve">For more information contact Kerry Thomas, Title IV-A Coordinator </w:t>
      </w:r>
      <w:r w:rsidR="00C81FF3" w:rsidRPr="00DB182E">
        <w:t>at</w:t>
      </w:r>
      <w:r w:rsidRPr="00DB182E">
        <w:t xml:space="preserve"> </w:t>
      </w:r>
      <w:hyperlink r:id="rId7" w:history="1">
        <w:r w:rsidR="00C81FF3" w:rsidRPr="00DB182E">
          <w:rPr>
            <w:rStyle w:val="Hyperlink"/>
          </w:rPr>
          <w:t>kthomas@mdek12.org</w:t>
        </w:r>
      </w:hyperlink>
      <w:r w:rsidR="00C81FF3" w:rsidRPr="00DB182E">
        <w:t xml:space="preserve"> </w:t>
      </w:r>
      <w:r w:rsidRPr="00DB182E">
        <w:t xml:space="preserve">or Dr. Diona Stevenson, Director of Monitoring and Compliance </w:t>
      </w:r>
      <w:r w:rsidR="00C81FF3" w:rsidRPr="00DB182E">
        <w:t xml:space="preserve">at </w:t>
      </w:r>
      <w:hyperlink r:id="rId8" w:history="1">
        <w:r w:rsidR="00C81FF3" w:rsidRPr="00DB182E">
          <w:rPr>
            <w:rStyle w:val="Hyperlink"/>
          </w:rPr>
          <w:t>distevenson@mdek12.org</w:t>
        </w:r>
      </w:hyperlink>
      <w:r w:rsidR="00C81FF3" w:rsidRPr="00DB182E">
        <w:t>.</w:t>
      </w:r>
      <w:r w:rsidRPr="00DB182E">
        <w:t xml:space="preserve"> </w:t>
      </w:r>
    </w:p>
    <w:p w14:paraId="31A8239A" w14:textId="77777777" w:rsidR="004B1989" w:rsidRPr="00DB182E" w:rsidRDefault="004B1989" w:rsidP="004B1989"/>
    <w:p w14:paraId="0CD32D67" w14:textId="77777777" w:rsidR="00D916D8" w:rsidRPr="00DB182E" w:rsidRDefault="008A6B48"/>
    <w:sectPr w:rsidR="00D916D8" w:rsidRPr="00DB1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E016" w14:textId="77777777" w:rsidR="00793668" w:rsidRDefault="00793668" w:rsidP="00793668">
      <w:r>
        <w:separator/>
      </w:r>
    </w:p>
  </w:endnote>
  <w:endnote w:type="continuationSeparator" w:id="0">
    <w:p w14:paraId="58D31C51" w14:textId="77777777" w:rsidR="00793668" w:rsidRDefault="00793668" w:rsidP="007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F3918" w14:textId="77777777" w:rsidR="00793668" w:rsidRDefault="00793668" w:rsidP="00793668">
      <w:r>
        <w:separator/>
      </w:r>
    </w:p>
  </w:footnote>
  <w:footnote w:type="continuationSeparator" w:id="0">
    <w:p w14:paraId="17409771" w14:textId="77777777" w:rsidR="00793668" w:rsidRDefault="00793668" w:rsidP="00793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2E82"/>
    <w:multiLevelType w:val="hybridMultilevel"/>
    <w:tmpl w:val="2522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6F39"/>
    <w:multiLevelType w:val="multilevel"/>
    <w:tmpl w:val="579C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9F3BA6"/>
    <w:multiLevelType w:val="hybridMultilevel"/>
    <w:tmpl w:val="14E8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89"/>
    <w:rsid w:val="004B1989"/>
    <w:rsid w:val="004C3631"/>
    <w:rsid w:val="00515ACD"/>
    <w:rsid w:val="006F611A"/>
    <w:rsid w:val="00793668"/>
    <w:rsid w:val="007A2102"/>
    <w:rsid w:val="008A6B48"/>
    <w:rsid w:val="00BA104B"/>
    <w:rsid w:val="00C81FF3"/>
    <w:rsid w:val="00DB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F6C353"/>
  <w15:chartTrackingRefBased/>
  <w15:docId w15:val="{C3810E3D-4739-41DD-969D-25F119E0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9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1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9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98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1F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FF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B1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F6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evenson@mdek12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thomas@mdek1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Thomas</dc:creator>
  <cp:keywords/>
  <dc:description/>
  <cp:lastModifiedBy>Greg Smith</cp:lastModifiedBy>
  <cp:revision>2</cp:revision>
  <cp:lastPrinted>2021-06-16T20:59:00Z</cp:lastPrinted>
  <dcterms:created xsi:type="dcterms:W3CDTF">2021-06-24T13:10:00Z</dcterms:created>
  <dcterms:modified xsi:type="dcterms:W3CDTF">2021-06-24T13:10:00Z</dcterms:modified>
</cp:coreProperties>
</file>