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EF6C" w14:textId="1D4CCFEA" w:rsidR="00D15F22" w:rsidRPr="009D622C" w:rsidRDefault="004160F1" w:rsidP="004160F1">
      <w:pPr>
        <w:jc w:val="center"/>
        <w:rPr>
          <w:rFonts w:cstheme="minorHAnsi"/>
          <w:b/>
          <w:color w:val="000000" w:themeColor="text1"/>
        </w:rPr>
      </w:pPr>
      <w:r w:rsidRPr="009D622C">
        <w:rPr>
          <w:rFonts w:cstheme="minorHAnsi"/>
          <w:b/>
          <w:color w:val="000000" w:themeColor="text1"/>
        </w:rPr>
        <w:t>Mississippi Accountability Task Force Meeting</w:t>
      </w:r>
    </w:p>
    <w:p w14:paraId="26D0FD41" w14:textId="7010E20B" w:rsidR="004160F1" w:rsidRPr="009D622C" w:rsidRDefault="00D473D3" w:rsidP="004160F1">
      <w:pPr>
        <w:jc w:val="center"/>
        <w:rPr>
          <w:rFonts w:cstheme="minorHAnsi"/>
          <w:b/>
          <w:color w:val="000000" w:themeColor="text1"/>
        </w:rPr>
      </w:pPr>
      <w:r w:rsidRPr="009D622C">
        <w:rPr>
          <w:rFonts w:cstheme="minorHAnsi"/>
          <w:b/>
          <w:color w:val="000000" w:themeColor="text1"/>
        </w:rPr>
        <w:t>March 8, 2023</w:t>
      </w:r>
    </w:p>
    <w:p w14:paraId="3F3816A4" w14:textId="65C976BB" w:rsidR="004160F1" w:rsidRPr="009D622C" w:rsidRDefault="004160F1" w:rsidP="004160F1">
      <w:pPr>
        <w:jc w:val="center"/>
        <w:rPr>
          <w:rFonts w:cstheme="minorHAnsi"/>
          <w:b/>
          <w:color w:val="000000" w:themeColor="text1"/>
        </w:rPr>
      </w:pPr>
    </w:p>
    <w:p w14:paraId="7CDCC603" w14:textId="10CA19B5" w:rsidR="004160F1" w:rsidRPr="009D622C" w:rsidRDefault="004160F1" w:rsidP="004160F1">
      <w:pPr>
        <w:jc w:val="center"/>
        <w:rPr>
          <w:rFonts w:cstheme="minorHAnsi"/>
          <w:b/>
          <w:color w:val="000000" w:themeColor="text1"/>
        </w:rPr>
      </w:pPr>
      <w:r w:rsidRPr="009D622C">
        <w:rPr>
          <w:rFonts w:cstheme="minorHAnsi"/>
          <w:b/>
          <w:color w:val="000000" w:themeColor="text1"/>
        </w:rPr>
        <w:t xml:space="preserve">DRAFT Meeting </w:t>
      </w:r>
      <w:r w:rsidR="004D55CA" w:rsidRPr="009D622C">
        <w:rPr>
          <w:rFonts w:cstheme="minorHAnsi"/>
          <w:b/>
          <w:color w:val="000000" w:themeColor="text1"/>
        </w:rPr>
        <w:t>Summary</w:t>
      </w:r>
    </w:p>
    <w:p w14:paraId="34DF6877" w14:textId="25927B8B" w:rsidR="004160F1" w:rsidRPr="009D622C" w:rsidRDefault="004160F1">
      <w:pPr>
        <w:rPr>
          <w:rFonts w:cstheme="minorHAnsi"/>
          <w:color w:val="000000" w:themeColor="text1"/>
        </w:rPr>
      </w:pPr>
    </w:p>
    <w:p w14:paraId="056C3415" w14:textId="37031C86" w:rsidR="004160F1" w:rsidRPr="009D622C" w:rsidRDefault="004160F1">
      <w:pPr>
        <w:rPr>
          <w:rFonts w:cstheme="minorHAnsi"/>
          <w:b/>
          <w:bCs/>
          <w:color w:val="000000" w:themeColor="text1"/>
        </w:rPr>
      </w:pPr>
      <w:r w:rsidRPr="009D622C">
        <w:rPr>
          <w:rFonts w:cstheme="minorHAnsi"/>
          <w:b/>
          <w:bCs/>
          <w:color w:val="000000" w:themeColor="text1"/>
        </w:rPr>
        <w:t>Meeting Participants</w:t>
      </w:r>
      <w:r w:rsidR="00D9012B" w:rsidRPr="009D622C">
        <w:rPr>
          <w:rFonts w:cstheme="minorHAnsi"/>
          <w:b/>
          <w:bCs/>
          <w:color w:val="000000" w:themeColor="text1"/>
        </w:rPr>
        <w:t xml:space="preserve"> </w:t>
      </w:r>
    </w:p>
    <w:p w14:paraId="0D6A2277" w14:textId="77777777" w:rsidR="00716D56" w:rsidRPr="009D622C" w:rsidRDefault="00716D56">
      <w:pPr>
        <w:rPr>
          <w:rFonts w:cstheme="minorHAnsi"/>
          <w:b/>
          <w:bCs/>
          <w:color w:val="000000" w:themeColor="text1"/>
        </w:rPr>
      </w:pPr>
    </w:p>
    <w:tbl>
      <w:tblPr>
        <w:tblW w:w="7820" w:type="dxa"/>
        <w:tblCellMar>
          <w:left w:w="0" w:type="dxa"/>
          <w:right w:w="0" w:type="dxa"/>
        </w:tblCellMar>
        <w:tblLook w:val="0600" w:firstRow="0" w:lastRow="0" w:firstColumn="0" w:lastColumn="0" w:noHBand="1" w:noVBand="1"/>
      </w:tblPr>
      <w:tblGrid>
        <w:gridCol w:w="1280"/>
        <w:gridCol w:w="1380"/>
        <w:gridCol w:w="5160"/>
      </w:tblGrid>
      <w:tr w:rsidR="00716D56" w:rsidRPr="009D622C" w14:paraId="710CEEC1" w14:textId="77777777" w:rsidTr="00716D56">
        <w:trPr>
          <w:trHeight w:val="539"/>
        </w:trPr>
        <w:tc>
          <w:tcPr>
            <w:tcW w:w="1280" w:type="dxa"/>
            <w:tcBorders>
              <w:top w:val="single" w:sz="4" w:space="0" w:color="000000"/>
              <w:left w:val="single" w:sz="4" w:space="0" w:color="000000"/>
              <w:bottom w:val="single" w:sz="4" w:space="0" w:color="000000"/>
              <w:right w:val="single" w:sz="4" w:space="0" w:color="000000"/>
            </w:tcBorders>
            <w:shd w:val="clear" w:color="auto" w:fill="E7E6E6"/>
            <w:tcMar>
              <w:top w:w="10" w:type="dxa"/>
              <w:left w:w="10" w:type="dxa"/>
              <w:bottom w:w="0" w:type="dxa"/>
              <w:right w:w="10" w:type="dxa"/>
            </w:tcMar>
            <w:vAlign w:val="bottom"/>
            <w:hideMark/>
          </w:tcPr>
          <w:p w14:paraId="0F9ABD27" w14:textId="77777777" w:rsidR="00716D56" w:rsidRPr="009D622C" w:rsidRDefault="00716D56" w:rsidP="00716D56">
            <w:pPr>
              <w:rPr>
                <w:rFonts w:cstheme="minorHAnsi"/>
                <w:color w:val="000000" w:themeColor="text1"/>
              </w:rPr>
            </w:pPr>
            <w:r w:rsidRPr="009D622C">
              <w:rPr>
                <w:rFonts w:cstheme="minorHAnsi"/>
                <w:color w:val="000000" w:themeColor="text1"/>
              </w:rPr>
              <w:t>First Name:</w:t>
            </w:r>
          </w:p>
        </w:tc>
        <w:tc>
          <w:tcPr>
            <w:tcW w:w="1380" w:type="dxa"/>
            <w:tcBorders>
              <w:top w:val="single" w:sz="4" w:space="0" w:color="000000"/>
              <w:left w:val="single" w:sz="4" w:space="0" w:color="000000"/>
              <w:bottom w:val="single" w:sz="4" w:space="0" w:color="000000"/>
              <w:right w:val="single" w:sz="4" w:space="0" w:color="000000"/>
            </w:tcBorders>
            <w:shd w:val="clear" w:color="auto" w:fill="E7E6E6"/>
            <w:tcMar>
              <w:top w:w="10" w:type="dxa"/>
              <w:left w:w="10" w:type="dxa"/>
              <w:bottom w:w="0" w:type="dxa"/>
              <w:right w:w="10" w:type="dxa"/>
            </w:tcMar>
            <w:vAlign w:val="bottom"/>
            <w:hideMark/>
          </w:tcPr>
          <w:p w14:paraId="3E573937" w14:textId="77777777" w:rsidR="00716D56" w:rsidRPr="009D622C" w:rsidRDefault="00716D56" w:rsidP="00716D56">
            <w:pPr>
              <w:rPr>
                <w:rFonts w:cstheme="minorHAnsi"/>
                <w:color w:val="000000" w:themeColor="text1"/>
              </w:rPr>
            </w:pPr>
            <w:r w:rsidRPr="009D622C">
              <w:rPr>
                <w:rFonts w:cstheme="minorHAnsi"/>
                <w:color w:val="000000" w:themeColor="text1"/>
              </w:rPr>
              <w:t>Last Name:</w:t>
            </w:r>
          </w:p>
        </w:tc>
        <w:tc>
          <w:tcPr>
            <w:tcW w:w="5160" w:type="dxa"/>
            <w:tcBorders>
              <w:top w:val="single" w:sz="4" w:space="0" w:color="000000"/>
              <w:left w:val="single" w:sz="4" w:space="0" w:color="000000"/>
              <w:bottom w:val="single" w:sz="4" w:space="0" w:color="000000"/>
              <w:right w:val="single" w:sz="4" w:space="0" w:color="000000"/>
            </w:tcBorders>
            <w:shd w:val="clear" w:color="auto" w:fill="E7E6E6"/>
            <w:tcMar>
              <w:top w:w="10" w:type="dxa"/>
              <w:left w:w="10" w:type="dxa"/>
              <w:bottom w:w="0" w:type="dxa"/>
              <w:right w:w="10" w:type="dxa"/>
            </w:tcMar>
            <w:vAlign w:val="bottom"/>
            <w:hideMark/>
          </w:tcPr>
          <w:p w14:paraId="333AC7BA" w14:textId="77777777" w:rsidR="00716D56" w:rsidRPr="009D622C" w:rsidRDefault="00716D56" w:rsidP="00716D56">
            <w:pPr>
              <w:rPr>
                <w:rFonts w:cstheme="minorHAnsi"/>
                <w:color w:val="000000" w:themeColor="text1"/>
              </w:rPr>
            </w:pPr>
            <w:r w:rsidRPr="009D622C">
              <w:rPr>
                <w:rFonts w:cstheme="minorHAnsi"/>
                <w:color w:val="000000" w:themeColor="text1"/>
              </w:rPr>
              <w:t>Organization:</w:t>
            </w:r>
          </w:p>
        </w:tc>
      </w:tr>
      <w:tr w:rsidR="00716D56" w:rsidRPr="009D622C" w14:paraId="3CA9770B"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5DEEE75" w14:textId="77777777" w:rsidR="00716D56" w:rsidRPr="009D622C" w:rsidRDefault="00716D56" w:rsidP="00716D56">
            <w:pPr>
              <w:rPr>
                <w:rFonts w:cstheme="minorHAnsi"/>
                <w:color w:val="000000" w:themeColor="text1"/>
              </w:rPr>
            </w:pPr>
            <w:r w:rsidRPr="009D622C">
              <w:rPr>
                <w:rFonts w:cstheme="minorHAnsi"/>
                <w:color w:val="000000" w:themeColor="text1"/>
              </w:rPr>
              <w:t>Crystal</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46EB13B" w14:textId="77777777" w:rsidR="00716D56" w:rsidRPr="009D622C" w:rsidRDefault="00716D56" w:rsidP="00716D56">
            <w:pPr>
              <w:rPr>
                <w:rFonts w:cstheme="minorHAnsi"/>
                <w:color w:val="000000" w:themeColor="text1"/>
              </w:rPr>
            </w:pPr>
            <w:r w:rsidRPr="009D622C">
              <w:rPr>
                <w:rFonts w:cstheme="minorHAnsi"/>
                <w:color w:val="000000" w:themeColor="text1"/>
              </w:rPr>
              <w:t>Bates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591FD26" w14:textId="77777777" w:rsidR="00716D56" w:rsidRPr="009D622C" w:rsidRDefault="00716D56" w:rsidP="00716D56">
            <w:pPr>
              <w:rPr>
                <w:rFonts w:cstheme="minorHAnsi"/>
                <w:color w:val="000000" w:themeColor="text1"/>
              </w:rPr>
            </w:pPr>
            <w:r w:rsidRPr="009D622C">
              <w:rPr>
                <w:rFonts w:cstheme="minorHAnsi"/>
                <w:color w:val="000000" w:themeColor="text1"/>
              </w:rPr>
              <w:t>Wayne County High School</w:t>
            </w:r>
          </w:p>
        </w:tc>
      </w:tr>
      <w:tr w:rsidR="00716D56" w:rsidRPr="009D622C" w14:paraId="07D5D837"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C48AB79" w14:textId="77777777" w:rsidR="00716D56" w:rsidRPr="009D622C" w:rsidRDefault="00716D56" w:rsidP="00716D56">
            <w:pPr>
              <w:rPr>
                <w:rFonts w:cstheme="minorHAnsi"/>
                <w:color w:val="000000" w:themeColor="text1"/>
              </w:rPr>
            </w:pPr>
            <w:r w:rsidRPr="009D622C">
              <w:rPr>
                <w:rFonts w:cstheme="minorHAnsi"/>
                <w:color w:val="000000" w:themeColor="text1"/>
              </w:rPr>
              <w:t>LaToya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AE72FEE" w14:textId="77777777" w:rsidR="00716D56" w:rsidRPr="009D622C" w:rsidRDefault="00716D56" w:rsidP="00716D56">
            <w:pPr>
              <w:rPr>
                <w:rFonts w:cstheme="minorHAnsi"/>
                <w:color w:val="000000" w:themeColor="text1"/>
              </w:rPr>
            </w:pPr>
            <w:r w:rsidRPr="009D622C">
              <w:rPr>
                <w:rFonts w:cstheme="minorHAnsi"/>
                <w:color w:val="000000" w:themeColor="text1"/>
              </w:rPr>
              <w:t>Blackshear</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2267150" w14:textId="77777777" w:rsidR="00716D56" w:rsidRPr="009D622C" w:rsidRDefault="00716D56" w:rsidP="00716D56">
            <w:pPr>
              <w:rPr>
                <w:rFonts w:cstheme="minorHAnsi"/>
                <w:color w:val="000000" w:themeColor="text1"/>
              </w:rPr>
            </w:pPr>
            <w:r w:rsidRPr="009D622C">
              <w:rPr>
                <w:rFonts w:cstheme="minorHAnsi"/>
                <w:color w:val="000000" w:themeColor="text1"/>
              </w:rPr>
              <w:t>Jackson Public Schools</w:t>
            </w:r>
          </w:p>
        </w:tc>
      </w:tr>
      <w:tr w:rsidR="00716D56" w:rsidRPr="009D622C" w14:paraId="230211BA"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1D47AC4" w14:textId="77777777" w:rsidR="00716D56" w:rsidRPr="009D622C" w:rsidRDefault="00716D56" w:rsidP="00716D56">
            <w:pPr>
              <w:rPr>
                <w:rFonts w:cstheme="minorHAnsi"/>
                <w:color w:val="000000" w:themeColor="text1"/>
              </w:rPr>
            </w:pPr>
            <w:r w:rsidRPr="009D622C">
              <w:rPr>
                <w:rFonts w:cstheme="minorHAnsi"/>
                <w:color w:val="000000" w:themeColor="text1"/>
              </w:rPr>
              <w:t xml:space="preserve">Lindsay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F76814D" w14:textId="77777777" w:rsidR="00716D56" w:rsidRPr="009D622C" w:rsidRDefault="00716D56" w:rsidP="00716D56">
            <w:pPr>
              <w:rPr>
                <w:rFonts w:cstheme="minorHAnsi"/>
                <w:color w:val="000000" w:themeColor="text1"/>
              </w:rPr>
            </w:pPr>
            <w:r w:rsidRPr="009D622C">
              <w:rPr>
                <w:rFonts w:cstheme="minorHAnsi"/>
                <w:color w:val="000000" w:themeColor="text1"/>
              </w:rPr>
              <w:t>Brett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04B477B" w14:textId="77777777" w:rsidR="00716D56" w:rsidRPr="009D622C" w:rsidRDefault="00716D56" w:rsidP="00716D56">
            <w:pPr>
              <w:rPr>
                <w:rFonts w:cstheme="minorHAnsi"/>
                <w:color w:val="000000" w:themeColor="text1"/>
              </w:rPr>
            </w:pPr>
            <w:r w:rsidRPr="009D622C">
              <w:rPr>
                <w:rFonts w:cstheme="minorHAnsi"/>
                <w:color w:val="000000" w:themeColor="text1"/>
              </w:rPr>
              <w:t>Lee County Schools</w:t>
            </w:r>
          </w:p>
        </w:tc>
      </w:tr>
      <w:tr w:rsidR="00716D56" w:rsidRPr="009D622C" w14:paraId="2F8CF83E"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16ED075" w14:textId="77777777" w:rsidR="00716D56" w:rsidRPr="009D622C" w:rsidRDefault="00716D56" w:rsidP="00716D56">
            <w:pPr>
              <w:rPr>
                <w:rFonts w:cstheme="minorHAnsi"/>
                <w:color w:val="000000" w:themeColor="text1"/>
              </w:rPr>
            </w:pPr>
            <w:r w:rsidRPr="009D622C">
              <w:rPr>
                <w:rFonts w:cstheme="minorHAnsi"/>
                <w:color w:val="000000" w:themeColor="text1"/>
              </w:rPr>
              <w:t>Jermaine</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33FE1B6" w14:textId="77777777" w:rsidR="00716D56" w:rsidRPr="009D622C" w:rsidRDefault="00716D56" w:rsidP="00716D56">
            <w:pPr>
              <w:rPr>
                <w:rFonts w:cstheme="minorHAnsi"/>
                <w:color w:val="000000" w:themeColor="text1"/>
              </w:rPr>
            </w:pPr>
            <w:r w:rsidRPr="009D622C">
              <w:rPr>
                <w:rFonts w:cstheme="minorHAnsi"/>
                <w:color w:val="000000" w:themeColor="text1"/>
              </w:rPr>
              <w:t>Brown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4C2C85A" w14:textId="77777777" w:rsidR="00716D56" w:rsidRPr="009D622C" w:rsidRDefault="00716D56" w:rsidP="00716D56">
            <w:pPr>
              <w:rPr>
                <w:rFonts w:cstheme="minorHAnsi"/>
                <w:color w:val="000000" w:themeColor="text1"/>
              </w:rPr>
            </w:pPr>
            <w:r w:rsidRPr="009D622C">
              <w:rPr>
                <w:rFonts w:cstheme="minorHAnsi"/>
                <w:color w:val="000000" w:themeColor="text1"/>
              </w:rPr>
              <w:t>Hattiesburg</w:t>
            </w:r>
          </w:p>
        </w:tc>
      </w:tr>
      <w:tr w:rsidR="00716D56" w:rsidRPr="009D622C" w14:paraId="6DB2908C"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E1C2A4E" w14:textId="77777777" w:rsidR="00716D56" w:rsidRPr="009D622C" w:rsidRDefault="00716D56" w:rsidP="00716D56">
            <w:pPr>
              <w:rPr>
                <w:rFonts w:cstheme="minorHAnsi"/>
                <w:color w:val="000000" w:themeColor="text1"/>
              </w:rPr>
            </w:pPr>
            <w:r w:rsidRPr="009D622C">
              <w:rPr>
                <w:rFonts w:cstheme="minorHAnsi"/>
                <w:color w:val="000000" w:themeColor="text1"/>
              </w:rPr>
              <w:t>Angela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98FCCA0" w14:textId="77777777" w:rsidR="00716D56" w:rsidRPr="009D622C" w:rsidRDefault="00716D56" w:rsidP="00716D56">
            <w:pPr>
              <w:rPr>
                <w:rFonts w:cstheme="minorHAnsi"/>
                <w:color w:val="000000" w:themeColor="text1"/>
              </w:rPr>
            </w:pPr>
            <w:r w:rsidRPr="009D622C">
              <w:rPr>
                <w:rFonts w:cstheme="minorHAnsi"/>
                <w:color w:val="000000" w:themeColor="text1"/>
              </w:rPr>
              <w:t>Burch</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CA9EB3F" w14:textId="77777777" w:rsidR="00716D56" w:rsidRPr="009D622C" w:rsidRDefault="00716D56" w:rsidP="00716D56">
            <w:pPr>
              <w:rPr>
                <w:rFonts w:cstheme="minorHAnsi"/>
                <w:color w:val="000000" w:themeColor="text1"/>
              </w:rPr>
            </w:pPr>
            <w:r w:rsidRPr="009D622C">
              <w:rPr>
                <w:rFonts w:cstheme="minorHAnsi"/>
                <w:color w:val="000000" w:themeColor="text1"/>
              </w:rPr>
              <w:t>Pascagoula-Gautier School District</w:t>
            </w:r>
          </w:p>
        </w:tc>
      </w:tr>
      <w:tr w:rsidR="00716D56" w:rsidRPr="009D622C" w14:paraId="3F2FBD38"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66041B1" w14:textId="77777777" w:rsidR="00716D56" w:rsidRPr="009D622C" w:rsidRDefault="00716D56" w:rsidP="00716D56">
            <w:pPr>
              <w:rPr>
                <w:rFonts w:cstheme="minorHAnsi"/>
                <w:color w:val="000000" w:themeColor="text1"/>
              </w:rPr>
            </w:pPr>
            <w:r w:rsidRPr="009D622C">
              <w:rPr>
                <w:rFonts w:cstheme="minorHAnsi"/>
                <w:color w:val="000000" w:themeColor="text1"/>
              </w:rPr>
              <w:t xml:space="preserve">Alan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5C526CC" w14:textId="77777777" w:rsidR="00716D56" w:rsidRPr="009D622C" w:rsidRDefault="00716D56" w:rsidP="00716D56">
            <w:pPr>
              <w:rPr>
                <w:rFonts w:cstheme="minorHAnsi"/>
                <w:color w:val="000000" w:themeColor="text1"/>
              </w:rPr>
            </w:pPr>
            <w:r w:rsidRPr="009D622C">
              <w:rPr>
                <w:rFonts w:cstheme="minorHAnsi"/>
                <w:color w:val="000000" w:themeColor="text1"/>
              </w:rPr>
              <w:t>Burrow</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76E57EB" w14:textId="77777777" w:rsidR="00716D56" w:rsidRPr="009D622C" w:rsidRDefault="00716D56" w:rsidP="00716D56">
            <w:pPr>
              <w:rPr>
                <w:rFonts w:cstheme="minorHAnsi"/>
                <w:color w:val="000000" w:themeColor="text1"/>
              </w:rPr>
            </w:pPr>
            <w:r w:rsidRPr="009D622C">
              <w:rPr>
                <w:rFonts w:cstheme="minorHAnsi"/>
                <w:color w:val="000000" w:themeColor="text1"/>
              </w:rPr>
              <w:t>Mississippi Department of Education</w:t>
            </w:r>
          </w:p>
        </w:tc>
      </w:tr>
      <w:tr w:rsidR="00716D56" w:rsidRPr="009D622C" w14:paraId="65E5A49D"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0700EAA0" w14:textId="22CEB95B" w:rsidR="00716D56" w:rsidRPr="009D622C" w:rsidRDefault="00716D56" w:rsidP="00716D56">
            <w:pPr>
              <w:rPr>
                <w:rFonts w:cstheme="minorHAnsi"/>
                <w:color w:val="000000" w:themeColor="text1"/>
              </w:rPr>
            </w:pPr>
            <w:r w:rsidRPr="009D622C">
              <w:rPr>
                <w:rFonts w:cstheme="minorHAnsi"/>
                <w:color w:val="000000" w:themeColor="text1"/>
              </w:rPr>
              <w:t xml:space="preserve">Wendy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4935ACFA" w14:textId="3F839D5B" w:rsidR="00716D56" w:rsidRPr="009D622C" w:rsidRDefault="00716D56" w:rsidP="00716D56">
            <w:pPr>
              <w:rPr>
                <w:rFonts w:cstheme="minorHAnsi"/>
                <w:color w:val="000000" w:themeColor="text1"/>
              </w:rPr>
            </w:pPr>
            <w:r w:rsidRPr="009D622C">
              <w:rPr>
                <w:rFonts w:cstheme="minorHAnsi"/>
                <w:color w:val="000000" w:themeColor="text1"/>
              </w:rPr>
              <w:t>Clemons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2B39DD25" w14:textId="7800A449" w:rsidR="00716D56" w:rsidRPr="009D622C" w:rsidRDefault="00716D56" w:rsidP="00716D56">
            <w:pPr>
              <w:rPr>
                <w:rFonts w:cstheme="minorHAnsi"/>
                <w:color w:val="000000" w:themeColor="text1"/>
              </w:rPr>
            </w:pPr>
            <w:r w:rsidRPr="009D622C">
              <w:rPr>
                <w:rFonts w:cstheme="minorHAnsi"/>
                <w:color w:val="000000" w:themeColor="text1"/>
              </w:rPr>
              <w:t xml:space="preserve">Mississippi Department of Education </w:t>
            </w:r>
          </w:p>
        </w:tc>
      </w:tr>
      <w:tr w:rsidR="00716D56" w:rsidRPr="009D622C" w14:paraId="76E8999E"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7AE7EF" w14:textId="77777777" w:rsidR="00716D56" w:rsidRPr="009D622C" w:rsidRDefault="00716D56" w:rsidP="00716D56">
            <w:pPr>
              <w:rPr>
                <w:rFonts w:cstheme="minorHAnsi"/>
                <w:color w:val="000000" w:themeColor="text1"/>
              </w:rPr>
            </w:pPr>
            <w:r w:rsidRPr="009D622C">
              <w:rPr>
                <w:rFonts w:cstheme="minorHAnsi"/>
                <w:color w:val="000000" w:themeColor="text1"/>
              </w:rPr>
              <w:t>Alicia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7208673" w14:textId="77777777" w:rsidR="00716D56" w:rsidRPr="009D622C" w:rsidRDefault="00716D56" w:rsidP="00716D56">
            <w:pPr>
              <w:rPr>
                <w:rFonts w:cstheme="minorHAnsi"/>
                <w:color w:val="000000" w:themeColor="text1"/>
              </w:rPr>
            </w:pPr>
            <w:r w:rsidRPr="009D622C">
              <w:rPr>
                <w:rFonts w:cstheme="minorHAnsi"/>
                <w:color w:val="000000" w:themeColor="text1"/>
              </w:rPr>
              <w:t>Conerly</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5D2E6AF" w14:textId="77777777" w:rsidR="00716D56" w:rsidRPr="009D622C" w:rsidRDefault="00716D56" w:rsidP="00716D56">
            <w:pPr>
              <w:rPr>
                <w:rFonts w:cstheme="minorHAnsi"/>
                <w:color w:val="000000" w:themeColor="text1"/>
              </w:rPr>
            </w:pPr>
            <w:r w:rsidRPr="009D622C">
              <w:rPr>
                <w:rFonts w:cstheme="minorHAnsi"/>
                <w:color w:val="000000" w:themeColor="text1"/>
              </w:rPr>
              <w:t>Lawrence County</w:t>
            </w:r>
          </w:p>
        </w:tc>
      </w:tr>
      <w:tr w:rsidR="00716D56" w:rsidRPr="009D622C" w14:paraId="4AA711A4"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45A3EA1" w14:textId="77777777" w:rsidR="00716D56" w:rsidRPr="009D622C" w:rsidRDefault="00716D56" w:rsidP="00716D56">
            <w:pPr>
              <w:rPr>
                <w:rFonts w:cstheme="minorHAnsi"/>
                <w:color w:val="000000" w:themeColor="text1"/>
              </w:rPr>
            </w:pPr>
            <w:r w:rsidRPr="009D622C">
              <w:rPr>
                <w:rFonts w:cstheme="minorHAnsi"/>
                <w:color w:val="000000" w:themeColor="text1"/>
              </w:rPr>
              <w:t xml:space="preserve">Chris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2186A0" w14:textId="77777777" w:rsidR="00716D56" w:rsidRPr="009D622C" w:rsidRDefault="00716D56" w:rsidP="00716D56">
            <w:pPr>
              <w:rPr>
                <w:rFonts w:cstheme="minorHAnsi"/>
                <w:color w:val="000000" w:themeColor="text1"/>
              </w:rPr>
            </w:pPr>
            <w:r w:rsidRPr="009D622C">
              <w:rPr>
                <w:rFonts w:cstheme="minorHAnsi"/>
                <w:color w:val="000000" w:themeColor="text1"/>
              </w:rPr>
              <w:t>Domaleski</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2365D54" w14:textId="77777777" w:rsidR="00716D56" w:rsidRPr="009D622C" w:rsidRDefault="00716D56" w:rsidP="00716D56">
            <w:pPr>
              <w:rPr>
                <w:rFonts w:cstheme="minorHAnsi"/>
                <w:color w:val="000000" w:themeColor="text1"/>
              </w:rPr>
            </w:pPr>
            <w:r w:rsidRPr="009D622C">
              <w:rPr>
                <w:rFonts w:cstheme="minorHAnsi"/>
                <w:color w:val="000000" w:themeColor="text1"/>
              </w:rPr>
              <w:t>The Center for Assessment</w:t>
            </w:r>
          </w:p>
        </w:tc>
      </w:tr>
      <w:tr w:rsidR="00716D56" w:rsidRPr="009D622C" w14:paraId="02CFDD6D"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65CAE47" w14:textId="77777777" w:rsidR="00716D56" w:rsidRPr="009D622C" w:rsidRDefault="00716D56" w:rsidP="00716D56">
            <w:pPr>
              <w:rPr>
                <w:rFonts w:cstheme="minorHAnsi"/>
                <w:color w:val="000000" w:themeColor="text1"/>
              </w:rPr>
            </w:pPr>
            <w:r w:rsidRPr="009D622C">
              <w:rPr>
                <w:rFonts w:cstheme="minorHAnsi"/>
                <w:color w:val="000000" w:themeColor="text1"/>
              </w:rPr>
              <w:t>Deborah</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C968A46" w14:textId="77777777" w:rsidR="00716D56" w:rsidRPr="009D622C" w:rsidRDefault="00716D56" w:rsidP="00716D56">
            <w:pPr>
              <w:rPr>
                <w:rFonts w:cstheme="minorHAnsi"/>
                <w:color w:val="000000" w:themeColor="text1"/>
              </w:rPr>
            </w:pPr>
            <w:r w:rsidRPr="009D622C">
              <w:rPr>
                <w:rFonts w:cstheme="minorHAnsi"/>
                <w:color w:val="000000" w:themeColor="text1"/>
              </w:rPr>
              <w:t>Donovan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64366EA" w14:textId="77777777" w:rsidR="00716D56" w:rsidRPr="009D622C" w:rsidRDefault="00716D56" w:rsidP="00716D56">
            <w:pPr>
              <w:rPr>
                <w:rFonts w:cstheme="minorHAnsi"/>
                <w:color w:val="000000" w:themeColor="text1"/>
              </w:rPr>
            </w:pPr>
            <w:r w:rsidRPr="009D622C">
              <w:rPr>
                <w:rFonts w:cstheme="minorHAnsi"/>
                <w:color w:val="000000" w:themeColor="text1"/>
              </w:rPr>
              <w:t>Mississippi Department of Education</w:t>
            </w:r>
          </w:p>
        </w:tc>
      </w:tr>
      <w:tr w:rsidR="00716D56" w:rsidRPr="009D622C" w14:paraId="025C561B"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B6E5DD5" w14:textId="77777777" w:rsidR="00716D56" w:rsidRPr="009D622C" w:rsidRDefault="00716D56" w:rsidP="00716D56">
            <w:pPr>
              <w:rPr>
                <w:rFonts w:cstheme="minorHAnsi"/>
                <w:color w:val="000000" w:themeColor="text1"/>
              </w:rPr>
            </w:pPr>
            <w:r w:rsidRPr="009D622C">
              <w:rPr>
                <w:rFonts w:cstheme="minorHAnsi"/>
                <w:color w:val="000000" w:themeColor="text1"/>
              </w:rPr>
              <w:t>Glen</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412C045" w14:textId="77777777" w:rsidR="00716D56" w:rsidRPr="009D622C" w:rsidRDefault="00716D56" w:rsidP="00716D56">
            <w:pPr>
              <w:rPr>
                <w:rFonts w:cstheme="minorHAnsi"/>
                <w:color w:val="000000" w:themeColor="text1"/>
              </w:rPr>
            </w:pPr>
            <w:r w:rsidRPr="009D622C">
              <w:rPr>
                <w:rFonts w:cstheme="minorHAnsi"/>
                <w:color w:val="000000" w:themeColor="text1"/>
              </w:rPr>
              <w:t>East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E670CA0" w14:textId="77777777" w:rsidR="00716D56" w:rsidRPr="009D622C" w:rsidRDefault="00716D56" w:rsidP="00716D56">
            <w:pPr>
              <w:rPr>
                <w:rFonts w:cstheme="minorHAnsi"/>
                <w:color w:val="000000" w:themeColor="text1"/>
              </w:rPr>
            </w:pPr>
            <w:r w:rsidRPr="009D622C">
              <w:rPr>
                <w:rFonts w:cstheme="minorHAnsi"/>
                <w:color w:val="000000" w:themeColor="text1"/>
              </w:rPr>
              <w:t>State Board of Education</w:t>
            </w:r>
          </w:p>
        </w:tc>
      </w:tr>
      <w:tr w:rsidR="00716D56" w:rsidRPr="009D622C" w14:paraId="78828776"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B600694" w14:textId="77777777" w:rsidR="00716D56" w:rsidRPr="009D622C" w:rsidRDefault="00716D56" w:rsidP="00716D56">
            <w:pPr>
              <w:rPr>
                <w:rFonts w:cstheme="minorHAnsi"/>
                <w:color w:val="000000" w:themeColor="text1"/>
              </w:rPr>
            </w:pPr>
            <w:r w:rsidRPr="009D622C">
              <w:rPr>
                <w:rFonts w:cstheme="minorHAnsi"/>
                <w:color w:val="000000" w:themeColor="text1"/>
              </w:rPr>
              <w:t>Steven</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DE91B29" w14:textId="77777777" w:rsidR="00716D56" w:rsidRPr="009D622C" w:rsidRDefault="00716D56" w:rsidP="00716D56">
            <w:pPr>
              <w:rPr>
                <w:rFonts w:cstheme="minorHAnsi"/>
                <w:color w:val="000000" w:themeColor="text1"/>
              </w:rPr>
            </w:pPr>
            <w:r w:rsidRPr="009D622C">
              <w:rPr>
                <w:rFonts w:cstheme="minorHAnsi"/>
                <w:color w:val="000000" w:themeColor="text1"/>
              </w:rPr>
              <w:t>Hampton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2C3B1A3" w14:textId="77777777" w:rsidR="00716D56" w:rsidRPr="009D622C" w:rsidRDefault="00716D56" w:rsidP="00716D56">
            <w:pPr>
              <w:rPr>
                <w:rFonts w:cstheme="minorHAnsi"/>
                <w:color w:val="000000" w:themeColor="text1"/>
              </w:rPr>
            </w:pPr>
            <w:r w:rsidRPr="009D622C">
              <w:rPr>
                <w:rFonts w:cstheme="minorHAnsi"/>
                <w:color w:val="000000" w:themeColor="text1"/>
              </w:rPr>
              <w:t xml:space="preserve">Lamar County </w:t>
            </w:r>
          </w:p>
        </w:tc>
      </w:tr>
      <w:tr w:rsidR="00716D56" w:rsidRPr="009D622C" w14:paraId="68404DEA"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293C47C" w14:textId="77777777" w:rsidR="00716D56" w:rsidRPr="009D622C" w:rsidRDefault="00716D56" w:rsidP="00716D56">
            <w:pPr>
              <w:rPr>
                <w:rFonts w:cstheme="minorHAnsi"/>
                <w:color w:val="000000" w:themeColor="text1"/>
              </w:rPr>
            </w:pPr>
            <w:r w:rsidRPr="009D622C">
              <w:rPr>
                <w:rFonts w:cstheme="minorHAnsi"/>
                <w:color w:val="000000" w:themeColor="text1"/>
              </w:rPr>
              <w:t>Raina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9E5A463" w14:textId="77777777" w:rsidR="00716D56" w:rsidRPr="009D622C" w:rsidRDefault="00716D56" w:rsidP="00716D56">
            <w:pPr>
              <w:rPr>
                <w:rFonts w:cstheme="minorHAnsi"/>
                <w:color w:val="000000" w:themeColor="text1"/>
              </w:rPr>
            </w:pPr>
            <w:r w:rsidRPr="009D622C">
              <w:rPr>
                <w:rFonts w:cstheme="minorHAnsi"/>
                <w:color w:val="000000" w:themeColor="text1"/>
              </w:rPr>
              <w:t>Holmes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9E02D8D" w14:textId="77777777" w:rsidR="00716D56" w:rsidRPr="009D622C" w:rsidRDefault="00716D56" w:rsidP="00716D56">
            <w:pPr>
              <w:rPr>
                <w:rFonts w:cstheme="minorHAnsi"/>
                <w:color w:val="000000" w:themeColor="text1"/>
              </w:rPr>
            </w:pPr>
            <w:r w:rsidRPr="009D622C">
              <w:rPr>
                <w:rFonts w:cstheme="minorHAnsi"/>
                <w:color w:val="000000" w:themeColor="text1"/>
              </w:rPr>
              <w:t>Jackson County School District</w:t>
            </w:r>
          </w:p>
        </w:tc>
      </w:tr>
      <w:tr w:rsidR="00716D56" w:rsidRPr="009D622C" w14:paraId="09266382"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5FA0618" w14:textId="77777777" w:rsidR="00716D56" w:rsidRPr="009D622C" w:rsidRDefault="00716D56" w:rsidP="00716D56">
            <w:pPr>
              <w:rPr>
                <w:rFonts w:cstheme="minorHAnsi"/>
                <w:color w:val="000000" w:themeColor="text1"/>
              </w:rPr>
            </w:pPr>
            <w:r w:rsidRPr="009D622C">
              <w:rPr>
                <w:rFonts w:cstheme="minorHAnsi"/>
                <w:color w:val="000000" w:themeColor="text1"/>
              </w:rPr>
              <w:t xml:space="preserve">Christy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3C87266" w14:textId="77777777" w:rsidR="00716D56" w:rsidRPr="009D622C" w:rsidRDefault="00716D56" w:rsidP="00716D56">
            <w:pPr>
              <w:rPr>
                <w:rFonts w:cstheme="minorHAnsi"/>
                <w:color w:val="000000" w:themeColor="text1"/>
              </w:rPr>
            </w:pPr>
            <w:r w:rsidRPr="009D622C">
              <w:rPr>
                <w:rFonts w:cstheme="minorHAnsi"/>
                <w:color w:val="000000" w:themeColor="text1"/>
              </w:rPr>
              <w:t>Hovanetz</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BD9AF4A" w14:textId="77777777" w:rsidR="00716D56" w:rsidRPr="009D622C" w:rsidRDefault="00716D56" w:rsidP="00716D56">
            <w:pPr>
              <w:rPr>
                <w:rFonts w:cstheme="minorHAnsi"/>
                <w:color w:val="000000" w:themeColor="text1"/>
              </w:rPr>
            </w:pPr>
            <w:r w:rsidRPr="009D622C">
              <w:rPr>
                <w:rFonts w:cstheme="minorHAnsi"/>
                <w:color w:val="000000" w:themeColor="text1"/>
              </w:rPr>
              <w:t>Foundation for Excellence in Education</w:t>
            </w:r>
          </w:p>
        </w:tc>
      </w:tr>
      <w:tr w:rsidR="00716D56" w:rsidRPr="009D622C" w14:paraId="213B8711"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0C4197E" w14:textId="77777777" w:rsidR="00716D56" w:rsidRPr="009D622C" w:rsidRDefault="00716D56" w:rsidP="00716D56">
            <w:pPr>
              <w:rPr>
                <w:rFonts w:cstheme="minorHAnsi"/>
                <w:color w:val="000000" w:themeColor="text1"/>
              </w:rPr>
            </w:pPr>
            <w:r w:rsidRPr="009D622C">
              <w:rPr>
                <w:rFonts w:cstheme="minorHAnsi"/>
                <w:color w:val="000000" w:themeColor="text1"/>
              </w:rPr>
              <w:t>Lawrence</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E12B125" w14:textId="77777777" w:rsidR="00716D56" w:rsidRPr="009D622C" w:rsidRDefault="00716D56" w:rsidP="00716D56">
            <w:pPr>
              <w:rPr>
                <w:rFonts w:cstheme="minorHAnsi"/>
                <w:color w:val="000000" w:themeColor="text1"/>
              </w:rPr>
            </w:pPr>
            <w:r w:rsidRPr="009D622C">
              <w:rPr>
                <w:rFonts w:cstheme="minorHAnsi"/>
                <w:color w:val="000000" w:themeColor="text1"/>
              </w:rPr>
              <w:t>Hudson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E229F06" w14:textId="77777777" w:rsidR="00716D56" w:rsidRPr="009D622C" w:rsidRDefault="00716D56" w:rsidP="00716D56">
            <w:pPr>
              <w:rPr>
                <w:rFonts w:cstheme="minorHAnsi"/>
                <w:color w:val="000000" w:themeColor="text1"/>
              </w:rPr>
            </w:pPr>
            <w:r w:rsidRPr="009D622C">
              <w:rPr>
                <w:rFonts w:cstheme="minorHAnsi"/>
                <w:color w:val="000000" w:themeColor="text1"/>
              </w:rPr>
              <w:t>Western Line School District</w:t>
            </w:r>
          </w:p>
        </w:tc>
      </w:tr>
      <w:tr w:rsidR="00716D56" w:rsidRPr="009D622C" w14:paraId="74AEB6DA"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3B96182" w14:textId="77777777" w:rsidR="00716D56" w:rsidRPr="009D622C" w:rsidRDefault="00716D56" w:rsidP="00716D56">
            <w:pPr>
              <w:rPr>
                <w:rFonts w:cstheme="minorHAnsi"/>
                <w:color w:val="000000" w:themeColor="text1"/>
              </w:rPr>
            </w:pPr>
            <w:r w:rsidRPr="009D622C">
              <w:rPr>
                <w:rFonts w:cstheme="minorHAnsi"/>
                <w:color w:val="000000" w:themeColor="text1"/>
              </w:rPr>
              <w:t>Tameka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9DE72E4" w14:textId="77777777" w:rsidR="00716D56" w:rsidRPr="009D622C" w:rsidRDefault="00716D56" w:rsidP="00716D56">
            <w:pPr>
              <w:rPr>
                <w:rFonts w:cstheme="minorHAnsi"/>
                <w:color w:val="000000" w:themeColor="text1"/>
              </w:rPr>
            </w:pPr>
            <w:r w:rsidRPr="009D622C">
              <w:rPr>
                <w:rFonts w:cstheme="minorHAnsi"/>
                <w:color w:val="000000" w:themeColor="text1"/>
              </w:rPr>
              <w:t>Hyland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5EA9DA5" w14:textId="77777777" w:rsidR="00716D56" w:rsidRPr="009D622C" w:rsidRDefault="00716D56" w:rsidP="00716D56">
            <w:pPr>
              <w:rPr>
                <w:rFonts w:cstheme="minorHAnsi"/>
                <w:color w:val="000000" w:themeColor="text1"/>
              </w:rPr>
            </w:pPr>
            <w:r w:rsidRPr="009D622C">
              <w:rPr>
                <w:rFonts w:cstheme="minorHAnsi"/>
                <w:color w:val="000000" w:themeColor="text1"/>
              </w:rPr>
              <w:t>Vicksburg Warren School District</w:t>
            </w:r>
          </w:p>
        </w:tc>
      </w:tr>
      <w:tr w:rsidR="00716D56" w:rsidRPr="009D622C" w14:paraId="402B3E0B"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DA9C952" w14:textId="77777777" w:rsidR="00716D56" w:rsidRPr="009D622C" w:rsidRDefault="00716D56" w:rsidP="00716D56">
            <w:pPr>
              <w:rPr>
                <w:rFonts w:cstheme="minorHAnsi"/>
                <w:color w:val="000000" w:themeColor="text1"/>
              </w:rPr>
            </w:pPr>
            <w:r w:rsidRPr="009D622C">
              <w:rPr>
                <w:rFonts w:cstheme="minorHAnsi"/>
                <w:color w:val="000000" w:themeColor="text1"/>
              </w:rPr>
              <w:t>Tarrinasha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9D4002" w14:textId="77777777" w:rsidR="00716D56" w:rsidRPr="009D622C" w:rsidRDefault="00716D56" w:rsidP="00716D56">
            <w:pPr>
              <w:rPr>
                <w:rFonts w:cstheme="minorHAnsi"/>
                <w:color w:val="000000" w:themeColor="text1"/>
              </w:rPr>
            </w:pPr>
            <w:r w:rsidRPr="009D622C">
              <w:rPr>
                <w:rFonts w:cstheme="minorHAnsi"/>
                <w:color w:val="000000" w:themeColor="text1"/>
              </w:rPr>
              <w:t>Jones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CAD51E3" w14:textId="77777777" w:rsidR="00716D56" w:rsidRPr="009D622C" w:rsidRDefault="00716D56" w:rsidP="00716D56">
            <w:pPr>
              <w:rPr>
                <w:rFonts w:cstheme="minorHAnsi"/>
                <w:color w:val="000000" w:themeColor="text1"/>
              </w:rPr>
            </w:pPr>
            <w:r w:rsidRPr="009D622C">
              <w:rPr>
                <w:rFonts w:cstheme="minorHAnsi"/>
                <w:color w:val="000000" w:themeColor="text1"/>
              </w:rPr>
              <w:t>Greenville Public School District</w:t>
            </w:r>
          </w:p>
        </w:tc>
      </w:tr>
      <w:tr w:rsidR="00716D56" w:rsidRPr="009D622C" w14:paraId="3A844311"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5F7F7E6" w14:textId="77777777" w:rsidR="00716D56" w:rsidRPr="009D622C" w:rsidRDefault="00716D56" w:rsidP="00716D56">
            <w:pPr>
              <w:rPr>
                <w:rFonts w:cstheme="minorHAnsi"/>
                <w:color w:val="000000" w:themeColor="text1"/>
              </w:rPr>
            </w:pPr>
            <w:r w:rsidRPr="009D622C">
              <w:rPr>
                <w:rFonts w:cstheme="minorHAnsi"/>
                <w:color w:val="000000" w:themeColor="text1"/>
              </w:rPr>
              <w:t>Ryan</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4EE0C78" w14:textId="77777777" w:rsidR="00716D56" w:rsidRPr="009D622C" w:rsidRDefault="00716D56" w:rsidP="00716D56">
            <w:pPr>
              <w:rPr>
                <w:rFonts w:cstheme="minorHAnsi"/>
                <w:color w:val="000000" w:themeColor="text1"/>
              </w:rPr>
            </w:pPr>
            <w:r w:rsidRPr="009D622C">
              <w:rPr>
                <w:rFonts w:cstheme="minorHAnsi"/>
                <w:color w:val="000000" w:themeColor="text1"/>
              </w:rPr>
              <w:t>Kuykendall</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B61303C" w14:textId="77777777" w:rsidR="00716D56" w:rsidRPr="009D622C" w:rsidRDefault="00716D56" w:rsidP="00716D56">
            <w:pPr>
              <w:rPr>
                <w:rFonts w:cstheme="minorHAnsi"/>
                <w:color w:val="000000" w:themeColor="text1"/>
              </w:rPr>
            </w:pPr>
            <w:r w:rsidRPr="009D622C">
              <w:rPr>
                <w:rFonts w:cstheme="minorHAnsi"/>
                <w:color w:val="000000" w:themeColor="text1"/>
              </w:rPr>
              <w:t>DeSoto County</w:t>
            </w:r>
          </w:p>
        </w:tc>
      </w:tr>
      <w:tr w:rsidR="00716D56" w:rsidRPr="009D622C" w14:paraId="18B20E44"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F0DB1C6" w14:textId="77777777" w:rsidR="00716D56" w:rsidRPr="009D622C" w:rsidRDefault="00716D56" w:rsidP="00716D56">
            <w:pPr>
              <w:rPr>
                <w:rFonts w:cstheme="minorHAnsi"/>
                <w:color w:val="000000" w:themeColor="text1"/>
              </w:rPr>
            </w:pPr>
            <w:r w:rsidRPr="009D622C">
              <w:rPr>
                <w:rFonts w:cstheme="minorHAnsi"/>
                <w:color w:val="000000" w:themeColor="text1"/>
              </w:rPr>
              <w:t>Lisa Renee</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B69E786" w14:textId="77777777" w:rsidR="00716D56" w:rsidRPr="009D622C" w:rsidRDefault="00716D56" w:rsidP="00716D56">
            <w:pPr>
              <w:rPr>
                <w:rFonts w:cstheme="minorHAnsi"/>
                <w:color w:val="000000" w:themeColor="text1"/>
              </w:rPr>
            </w:pPr>
            <w:r w:rsidRPr="009D622C">
              <w:rPr>
                <w:rFonts w:cstheme="minorHAnsi"/>
                <w:color w:val="000000" w:themeColor="text1"/>
              </w:rPr>
              <w:t>LaMastus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8E3DD6A" w14:textId="77777777" w:rsidR="00716D56" w:rsidRPr="009D622C" w:rsidRDefault="00716D56" w:rsidP="00716D56">
            <w:pPr>
              <w:rPr>
                <w:rFonts w:cstheme="minorHAnsi"/>
                <w:color w:val="000000" w:themeColor="text1"/>
              </w:rPr>
            </w:pPr>
            <w:r w:rsidRPr="009D622C">
              <w:rPr>
                <w:rFonts w:cstheme="minorHAnsi"/>
                <w:color w:val="000000" w:themeColor="text1"/>
              </w:rPr>
              <w:t>Cleveland School District</w:t>
            </w:r>
          </w:p>
        </w:tc>
      </w:tr>
      <w:tr w:rsidR="00716D56" w:rsidRPr="009D622C" w14:paraId="2E35AF46"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1DA099E" w14:textId="77777777" w:rsidR="00716D56" w:rsidRPr="009D622C" w:rsidRDefault="00716D56" w:rsidP="00716D56">
            <w:pPr>
              <w:rPr>
                <w:rFonts w:cstheme="minorHAnsi"/>
                <w:color w:val="000000" w:themeColor="text1"/>
              </w:rPr>
            </w:pPr>
            <w:r w:rsidRPr="009D622C">
              <w:rPr>
                <w:rFonts w:cstheme="minorHAnsi"/>
                <w:color w:val="000000" w:themeColor="text1"/>
              </w:rPr>
              <w:t>Greg</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4AFADBE" w14:textId="77777777" w:rsidR="00716D56" w:rsidRPr="009D622C" w:rsidRDefault="00716D56" w:rsidP="00716D56">
            <w:pPr>
              <w:rPr>
                <w:rFonts w:cstheme="minorHAnsi"/>
                <w:color w:val="000000" w:themeColor="text1"/>
              </w:rPr>
            </w:pPr>
            <w:r w:rsidRPr="009D622C">
              <w:rPr>
                <w:rFonts w:cstheme="minorHAnsi"/>
                <w:color w:val="000000" w:themeColor="text1"/>
              </w:rPr>
              <w:t>Paczak</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2A92679" w14:textId="77777777" w:rsidR="00716D56" w:rsidRPr="009D622C" w:rsidRDefault="00716D56" w:rsidP="00716D56">
            <w:pPr>
              <w:rPr>
                <w:rFonts w:cstheme="minorHAnsi"/>
                <w:color w:val="000000" w:themeColor="text1"/>
              </w:rPr>
            </w:pPr>
            <w:r w:rsidRPr="009D622C">
              <w:rPr>
                <w:rFonts w:cstheme="minorHAnsi"/>
                <w:color w:val="000000" w:themeColor="text1"/>
              </w:rPr>
              <w:t>Madison County Schools</w:t>
            </w:r>
          </w:p>
        </w:tc>
      </w:tr>
      <w:tr w:rsidR="00716D56" w:rsidRPr="009D622C" w14:paraId="51F64E0E"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C91D690" w14:textId="77777777" w:rsidR="00716D56" w:rsidRPr="009D622C" w:rsidRDefault="00716D56" w:rsidP="00716D56">
            <w:pPr>
              <w:rPr>
                <w:rFonts w:cstheme="minorHAnsi"/>
                <w:color w:val="000000" w:themeColor="text1"/>
              </w:rPr>
            </w:pPr>
            <w:r w:rsidRPr="009D622C">
              <w:rPr>
                <w:rFonts w:cstheme="minorHAnsi"/>
                <w:color w:val="000000" w:themeColor="text1"/>
              </w:rPr>
              <w:t>William</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1E143C1" w14:textId="77777777" w:rsidR="00716D56" w:rsidRPr="009D622C" w:rsidRDefault="00716D56" w:rsidP="00716D56">
            <w:pPr>
              <w:rPr>
                <w:rFonts w:cstheme="minorHAnsi"/>
                <w:color w:val="000000" w:themeColor="text1"/>
              </w:rPr>
            </w:pPr>
            <w:r w:rsidRPr="009D622C">
              <w:rPr>
                <w:rFonts w:cstheme="minorHAnsi"/>
                <w:color w:val="000000" w:themeColor="text1"/>
              </w:rPr>
              <w:t>Roberson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9F11D1B" w14:textId="77777777" w:rsidR="00716D56" w:rsidRPr="009D622C" w:rsidRDefault="00716D56" w:rsidP="00716D56">
            <w:pPr>
              <w:rPr>
                <w:rFonts w:cstheme="minorHAnsi"/>
                <w:color w:val="000000" w:themeColor="text1"/>
              </w:rPr>
            </w:pPr>
            <w:r w:rsidRPr="009D622C">
              <w:rPr>
                <w:rFonts w:cstheme="minorHAnsi"/>
                <w:color w:val="000000" w:themeColor="text1"/>
              </w:rPr>
              <w:t>Oxford School District</w:t>
            </w:r>
          </w:p>
        </w:tc>
      </w:tr>
      <w:tr w:rsidR="00716D56" w:rsidRPr="009D622C" w14:paraId="23FA0134"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3072DF44" w14:textId="09ACE76E" w:rsidR="00716D56" w:rsidRPr="009D622C" w:rsidRDefault="00716D56" w:rsidP="00716D56">
            <w:pPr>
              <w:rPr>
                <w:rFonts w:cstheme="minorHAnsi"/>
                <w:color w:val="000000" w:themeColor="text1"/>
              </w:rPr>
            </w:pPr>
            <w:r w:rsidRPr="009D622C">
              <w:rPr>
                <w:rFonts w:cstheme="minorHAnsi"/>
                <w:color w:val="000000" w:themeColor="text1"/>
              </w:rPr>
              <w:t>Sonja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41EC10D7" w14:textId="666FAE15" w:rsidR="00716D56" w:rsidRPr="009D622C" w:rsidRDefault="00716D56" w:rsidP="00716D56">
            <w:pPr>
              <w:rPr>
                <w:rFonts w:cstheme="minorHAnsi"/>
                <w:color w:val="000000" w:themeColor="text1"/>
              </w:rPr>
            </w:pPr>
            <w:r w:rsidRPr="009D622C">
              <w:rPr>
                <w:rFonts w:cstheme="minorHAnsi"/>
                <w:color w:val="000000" w:themeColor="text1"/>
              </w:rPr>
              <w:t xml:space="preserve">Robertson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184ED97B" w14:textId="7A0A1B0C" w:rsidR="00716D56" w:rsidRPr="009D622C" w:rsidRDefault="00716D56" w:rsidP="00716D56">
            <w:pPr>
              <w:rPr>
                <w:rFonts w:cstheme="minorHAnsi"/>
                <w:color w:val="000000" w:themeColor="text1"/>
              </w:rPr>
            </w:pPr>
            <w:r w:rsidRPr="009D622C">
              <w:rPr>
                <w:rFonts w:cstheme="minorHAnsi"/>
                <w:color w:val="000000" w:themeColor="text1"/>
              </w:rPr>
              <w:t xml:space="preserve">Mississippi Department of Education </w:t>
            </w:r>
          </w:p>
        </w:tc>
      </w:tr>
      <w:tr w:rsidR="00716D56" w:rsidRPr="009D622C" w14:paraId="25813874"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11D403B" w14:textId="77777777" w:rsidR="00716D56" w:rsidRPr="009D622C" w:rsidRDefault="00716D56" w:rsidP="00716D56">
            <w:pPr>
              <w:rPr>
                <w:rFonts w:cstheme="minorHAnsi"/>
                <w:color w:val="000000" w:themeColor="text1"/>
              </w:rPr>
            </w:pPr>
            <w:r w:rsidRPr="009D622C">
              <w:rPr>
                <w:rFonts w:cstheme="minorHAnsi"/>
                <w:color w:val="000000" w:themeColor="text1"/>
              </w:rPr>
              <w:t>Robert</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A360CC6" w14:textId="77777777" w:rsidR="00716D56" w:rsidRPr="009D622C" w:rsidRDefault="00716D56" w:rsidP="00716D56">
            <w:pPr>
              <w:rPr>
                <w:rFonts w:cstheme="minorHAnsi"/>
                <w:color w:val="000000" w:themeColor="text1"/>
              </w:rPr>
            </w:pPr>
            <w:r w:rsidRPr="009D622C">
              <w:rPr>
                <w:rFonts w:cstheme="minorHAnsi"/>
                <w:color w:val="000000" w:themeColor="text1"/>
              </w:rPr>
              <w:t>Sanders</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694CCCA" w14:textId="77777777" w:rsidR="00716D56" w:rsidRPr="009D622C" w:rsidRDefault="00716D56" w:rsidP="00716D56">
            <w:pPr>
              <w:rPr>
                <w:rFonts w:cstheme="minorHAnsi"/>
                <w:color w:val="000000" w:themeColor="text1"/>
              </w:rPr>
            </w:pPr>
            <w:r w:rsidRPr="009D622C">
              <w:rPr>
                <w:rFonts w:cstheme="minorHAnsi"/>
                <w:color w:val="000000" w:themeColor="text1"/>
              </w:rPr>
              <w:t>Hinds County School District</w:t>
            </w:r>
          </w:p>
        </w:tc>
      </w:tr>
      <w:tr w:rsidR="00716D56" w:rsidRPr="009D622C" w14:paraId="240A7695"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95F7029" w14:textId="77777777" w:rsidR="00716D56" w:rsidRPr="009D622C" w:rsidRDefault="00716D56" w:rsidP="00716D56">
            <w:pPr>
              <w:rPr>
                <w:rFonts w:cstheme="minorHAnsi"/>
                <w:color w:val="000000" w:themeColor="text1"/>
              </w:rPr>
            </w:pPr>
            <w:r w:rsidRPr="009D622C">
              <w:rPr>
                <w:rFonts w:cstheme="minorHAnsi"/>
                <w:color w:val="000000" w:themeColor="text1"/>
              </w:rPr>
              <w:t xml:space="preserve">Paula </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D5ED3AD" w14:textId="77777777" w:rsidR="00716D56" w:rsidRPr="009D622C" w:rsidRDefault="00716D56" w:rsidP="00716D56">
            <w:pPr>
              <w:rPr>
                <w:rFonts w:cstheme="minorHAnsi"/>
                <w:color w:val="000000" w:themeColor="text1"/>
              </w:rPr>
            </w:pPr>
            <w:r w:rsidRPr="009D622C">
              <w:rPr>
                <w:rFonts w:cstheme="minorHAnsi"/>
                <w:color w:val="000000" w:themeColor="text1"/>
              </w:rPr>
              <w:t>Vanderford</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9EB5437" w14:textId="77777777" w:rsidR="00716D56" w:rsidRPr="009D622C" w:rsidRDefault="00716D56" w:rsidP="00716D56">
            <w:pPr>
              <w:rPr>
                <w:rFonts w:cstheme="minorHAnsi"/>
                <w:color w:val="000000" w:themeColor="text1"/>
              </w:rPr>
            </w:pPr>
            <w:r w:rsidRPr="009D622C">
              <w:rPr>
                <w:rFonts w:cstheme="minorHAnsi"/>
                <w:color w:val="000000" w:themeColor="text1"/>
              </w:rPr>
              <w:t>Mississippi Department of Education</w:t>
            </w:r>
          </w:p>
        </w:tc>
      </w:tr>
      <w:tr w:rsidR="00716D56" w:rsidRPr="009D622C" w14:paraId="06ACE4C2"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073F93C" w14:textId="77777777" w:rsidR="00716D56" w:rsidRPr="009D622C" w:rsidRDefault="00716D56" w:rsidP="00716D56">
            <w:pPr>
              <w:rPr>
                <w:rFonts w:cstheme="minorHAnsi"/>
                <w:color w:val="000000" w:themeColor="text1"/>
              </w:rPr>
            </w:pPr>
            <w:r w:rsidRPr="009D622C">
              <w:rPr>
                <w:rFonts w:cstheme="minorHAnsi"/>
                <w:color w:val="000000" w:themeColor="text1"/>
              </w:rPr>
              <w:t>LaVonda</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C2D5B19" w14:textId="77777777" w:rsidR="00716D56" w:rsidRPr="009D622C" w:rsidRDefault="00716D56" w:rsidP="00716D56">
            <w:pPr>
              <w:rPr>
                <w:rFonts w:cstheme="minorHAnsi"/>
                <w:color w:val="000000" w:themeColor="text1"/>
              </w:rPr>
            </w:pPr>
            <w:r w:rsidRPr="009D622C">
              <w:rPr>
                <w:rFonts w:cstheme="minorHAnsi"/>
                <w:color w:val="000000" w:themeColor="text1"/>
              </w:rPr>
              <w:t>White</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30CA1EE" w14:textId="77777777" w:rsidR="00716D56" w:rsidRPr="009D622C" w:rsidRDefault="00716D56" w:rsidP="00716D56">
            <w:pPr>
              <w:rPr>
                <w:rFonts w:cstheme="minorHAnsi"/>
                <w:color w:val="000000" w:themeColor="text1"/>
              </w:rPr>
            </w:pPr>
            <w:r w:rsidRPr="009D622C">
              <w:rPr>
                <w:rFonts w:cstheme="minorHAnsi"/>
                <w:color w:val="000000" w:themeColor="text1"/>
              </w:rPr>
              <w:t>Rankin County School District</w:t>
            </w:r>
          </w:p>
        </w:tc>
      </w:tr>
      <w:tr w:rsidR="00716D56" w:rsidRPr="009D622C" w14:paraId="07A8117A" w14:textId="77777777" w:rsidTr="00716D56">
        <w:trPr>
          <w:trHeight w:val="305"/>
        </w:trPr>
        <w:tc>
          <w:tcPr>
            <w:tcW w:w="12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73C92290" w14:textId="026B0301" w:rsidR="00716D56" w:rsidRPr="009D622C" w:rsidRDefault="00716D56" w:rsidP="00716D56">
            <w:pPr>
              <w:rPr>
                <w:rFonts w:cstheme="minorHAnsi"/>
                <w:color w:val="000000" w:themeColor="text1"/>
              </w:rPr>
            </w:pPr>
            <w:r w:rsidRPr="009D622C">
              <w:rPr>
                <w:rFonts w:cstheme="minorHAnsi"/>
                <w:color w:val="000000" w:themeColor="text1"/>
              </w:rPr>
              <w:t>Sandi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063FE42E" w14:textId="7FA25F68" w:rsidR="00716D56" w:rsidRPr="009D622C" w:rsidRDefault="00716D56" w:rsidP="00716D56">
            <w:pPr>
              <w:rPr>
                <w:rFonts w:cstheme="minorHAnsi"/>
                <w:color w:val="000000" w:themeColor="text1"/>
              </w:rPr>
            </w:pPr>
            <w:r w:rsidRPr="009D622C">
              <w:rPr>
                <w:rFonts w:cstheme="minorHAnsi"/>
                <w:color w:val="000000" w:themeColor="text1"/>
              </w:rPr>
              <w:t>Whiton</w:t>
            </w:r>
          </w:p>
        </w:tc>
        <w:tc>
          <w:tcPr>
            <w:tcW w:w="51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tcPr>
          <w:p w14:paraId="5C21618C" w14:textId="19815C13" w:rsidR="00716D56" w:rsidRPr="009D622C" w:rsidRDefault="00716D56" w:rsidP="00716D56">
            <w:pPr>
              <w:rPr>
                <w:rFonts w:cstheme="minorHAnsi"/>
                <w:color w:val="000000" w:themeColor="text1"/>
              </w:rPr>
            </w:pPr>
            <w:r w:rsidRPr="009D622C">
              <w:rPr>
                <w:rFonts w:cstheme="minorHAnsi"/>
                <w:color w:val="000000" w:themeColor="text1"/>
              </w:rPr>
              <w:t xml:space="preserve">Mississippi Department of Education </w:t>
            </w:r>
          </w:p>
        </w:tc>
      </w:tr>
    </w:tbl>
    <w:p w14:paraId="293CE0AA" w14:textId="16650A21" w:rsidR="004160F1" w:rsidRPr="009D622C" w:rsidRDefault="004160F1">
      <w:pPr>
        <w:rPr>
          <w:rFonts w:cstheme="minorHAnsi"/>
          <w:color w:val="000000" w:themeColor="text1"/>
        </w:rPr>
      </w:pPr>
    </w:p>
    <w:p w14:paraId="336A3775" w14:textId="45E5005E" w:rsidR="006121FD" w:rsidRPr="009D622C" w:rsidRDefault="006121FD">
      <w:pPr>
        <w:rPr>
          <w:rFonts w:cstheme="minorHAnsi"/>
          <w:b/>
          <w:color w:val="000000" w:themeColor="text1"/>
        </w:rPr>
      </w:pPr>
    </w:p>
    <w:p w14:paraId="6876C1FE" w14:textId="0CDE4E36" w:rsidR="004160F1" w:rsidRPr="009D622C" w:rsidRDefault="007B3BBF">
      <w:pPr>
        <w:rPr>
          <w:rFonts w:cstheme="minorHAnsi"/>
          <w:b/>
          <w:color w:val="000000" w:themeColor="text1"/>
        </w:rPr>
      </w:pPr>
      <w:r w:rsidRPr="009D622C">
        <w:rPr>
          <w:rFonts w:cstheme="minorHAnsi"/>
          <w:b/>
          <w:color w:val="000000" w:themeColor="text1"/>
        </w:rPr>
        <w:t xml:space="preserve">Welcome and Introductions </w:t>
      </w:r>
    </w:p>
    <w:p w14:paraId="37FBDA1C" w14:textId="53EB3026" w:rsidR="004160F1" w:rsidRPr="009D622C" w:rsidRDefault="004160F1">
      <w:pPr>
        <w:rPr>
          <w:rFonts w:cstheme="minorHAnsi"/>
          <w:color w:val="000000" w:themeColor="text1"/>
        </w:rPr>
      </w:pPr>
    </w:p>
    <w:p w14:paraId="700DEB72" w14:textId="53C45383" w:rsidR="00FA1F83" w:rsidRPr="009D622C" w:rsidRDefault="004D55CA">
      <w:pPr>
        <w:rPr>
          <w:rFonts w:cstheme="minorHAnsi"/>
          <w:color w:val="000000" w:themeColor="text1"/>
        </w:rPr>
      </w:pPr>
      <w:r w:rsidRPr="009D622C">
        <w:rPr>
          <w:rFonts w:cstheme="minorHAnsi"/>
          <w:color w:val="000000" w:themeColor="text1"/>
        </w:rPr>
        <w:t xml:space="preserve">Following welcome and introductions, Dr. Chris Domaleski </w:t>
      </w:r>
      <w:r w:rsidR="006121FD" w:rsidRPr="009D622C">
        <w:rPr>
          <w:rFonts w:cstheme="minorHAnsi"/>
          <w:color w:val="000000" w:themeColor="text1"/>
        </w:rPr>
        <w:t xml:space="preserve">reviewed the </w:t>
      </w:r>
      <w:r w:rsidR="00FA1F83" w:rsidRPr="009D622C">
        <w:rPr>
          <w:rFonts w:cstheme="minorHAnsi"/>
          <w:color w:val="000000" w:themeColor="text1"/>
        </w:rPr>
        <w:t>purpose of the Accountability Task Force (AT</w:t>
      </w:r>
      <w:r w:rsidR="00705664" w:rsidRPr="009D622C">
        <w:rPr>
          <w:rFonts w:cstheme="minorHAnsi"/>
          <w:color w:val="000000" w:themeColor="text1"/>
        </w:rPr>
        <w:t>F</w:t>
      </w:r>
      <w:r w:rsidR="00FA1F83" w:rsidRPr="009D622C">
        <w:rPr>
          <w:rFonts w:cstheme="minorHAnsi"/>
          <w:color w:val="000000" w:themeColor="text1"/>
        </w:rPr>
        <w:t xml:space="preserve">), indicating their role </w:t>
      </w:r>
      <w:r w:rsidR="00E85940" w:rsidRPr="009D622C">
        <w:rPr>
          <w:rFonts w:cstheme="minorHAnsi"/>
          <w:color w:val="000000" w:themeColor="text1"/>
        </w:rPr>
        <w:t>is</w:t>
      </w:r>
      <w:r w:rsidR="00FA1F83" w:rsidRPr="009D622C">
        <w:rPr>
          <w:rFonts w:cstheme="minorHAnsi"/>
          <w:color w:val="000000" w:themeColor="text1"/>
        </w:rPr>
        <w:t xml:space="preserve"> to help the Mississippi Department of </w:t>
      </w:r>
      <w:r w:rsidR="00FA1F83" w:rsidRPr="009D622C">
        <w:rPr>
          <w:rFonts w:cstheme="minorHAnsi"/>
          <w:color w:val="000000" w:themeColor="text1"/>
        </w:rPr>
        <w:lastRenderedPageBreak/>
        <w:t xml:space="preserve">Education (MDE) make good decisions about the design and implementation of the state, school accountability system.  He emphasized that the ATF focuses on policy priorities and decisions to support those priorities that are technically defensible and operationally feasible.  Feedback from the ATF is received as a recommendation to the MDE. </w:t>
      </w:r>
    </w:p>
    <w:p w14:paraId="00E1F711" w14:textId="77777777" w:rsidR="00FA1F83" w:rsidRPr="009D622C" w:rsidRDefault="00FA1F83">
      <w:pPr>
        <w:rPr>
          <w:rFonts w:cstheme="minorHAnsi"/>
          <w:color w:val="000000" w:themeColor="text1"/>
        </w:rPr>
      </w:pPr>
    </w:p>
    <w:p w14:paraId="335CAB90" w14:textId="5F48078B" w:rsidR="004D2F9F" w:rsidRPr="009D622C" w:rsidRDefault="00FA1F83" w:rsidP="0009100C">
      <w:pPr>
        <w:rPr>
          <w:rFonts w:cstheme="minorHAnsi"/>
          <w:color w:val="000000" w:themeColor="text1"/>
        </w:rPr>
      </w:pPr>
      <w:r w:rsidRPr="009D622C">
        <w:rPr>
          <w:rFonts w:cstheme="minorHAnsi"/>
          <w:color w:val="000000" w:themeColor="text1"/>
        </w:rPr>
        <w:t xml:space="preserve">Next, Dr. Domaleski reviewed the ground rules and group norms for the meeting, highlighting the importance of making sure everyone has an opportunity to share their perspectives in an environment characterized by courteous, respectful discourse.  In the best case, the ATF will build on one another’s comments and work toward shared understanding and consensus.  However, from time to time, it may be necessary to take a vote to identify the group’s recommendations.  When that occurs, dissenting views will be noted in the meeting summary.  </w:t>
      </w:r>
    </w:p>
    <w:p w14:paraId="46DFE4BF" w14:textId="165753AC" w:rsidR="00956BC6" w:rsidRPr="009D622C" w:rsidRDefault="00956BC6" w:rsidP="0009100C">
      <w:pPr>
        <w:rPr>
          <w:rFonts w:cstheme="minorHAnsi"/>
          <w:color w:val="000000" w:themeColor="text1"/>
        </w:rPr>
      </w:pPr>
    </w:p>
    <w:p w14:paraId="238557AD" w14:textId="23ED8DCA" w:rsidR="00956BC6" w:rsidRPr="009D622C" w:rsidRDefault="00716D56" w:rsidP="0009100C">
      <w:pPr>
        <w:rPr>
          <w:rFonts w:cstheme="minorHAnsi"/>
          <w:color w:val="000000" w:themeColor="text1"/>
        </w:rPr>
      </w:pPr>
      <w:r w:rsidRPr="009D622C">
        <w:rPr>
          <w:rFonts w:cstheme="minorHAnsi"/>
          <w:color w:val="000000" w:themeColor="text1"/>
        </w:rPr>
        <w:t xml:space="preserve">Finally, </w:t>
      </w:r>
      <w:r w:rsidR="00956BC6" w:rsidRPr="009D622C">
        <w:rPr>
          <w:rFonts w:cstheme="minorHAnsi"/>
          <w:color w:val="000000" w:themeColor="text1"/>
        </w:rPr>
        <w:t xml:space="preserve">Dr. Domaleski reviewed the agenda for </w:t>
      </w:r>
      <w:r w:rsidR="001908B4" w:rsidRPr="009D622C">
        <w:rPr>
          <w:rFonts w:cstheme="minorHAnsi"/>
          <w:color w:val="000000" w:themeColor="text1"/>
        </w:rPr>
        <w:t>the meeting.</w:t>
      </w:r>
    </w:p>
    <w:p w14:paraId="1BC7DC70" w14:textId="5D6072E0" w:rsidR="00716D56" w:rsidRPr="009D622C" w:rsidRDefault="00716D56" w:rsidP="0009100C">
      <w:pPr>
        <w:rPr>
          <w:rFonts w:cstheme="minorHAnsi"/>
          <w:color w:val="000000" w:themeColor="text1"/>
        </w:rPr>
      </w:pPr>
    </w:p>
    <w:p w14:paraId="5823F26F" w14:textId="55A6EE12" w:rsidR="00716D56" w:rsidRPr="009D622C" w:rsidRDefault="009D622C" w:rsidP="0009100C">
      <w:pPr>
        <w:rPr>
          <w:rFonts w:cstheme="minorHAnsi"/>
          <w:b/>
          <w:bCs/>
          <w:color w:val="000000" w:themeColor="text1"/>
        </w:rPr>
      </w:pPr>
      <w:r>
        <w:rPr>
          <w:rFonts w:cstheme="minorHAnsi"/>
          <w:b/>
          <w:bCs/>
          <w:color w:val="000000" w:themeColor="text1"/>
        </w:rPr>
        <w:t xml:space="preserve">Revisions to Business Rules </w:t>
      </w:r>
    </w:p>
    <w:p w14:paraId="5DEFE535" w14:textId="57391CE9" w:rsidR="00716D56" w:rsidRPr="009D622C" w:rsidRDefault="00716D56" w:rsidP="0009100C">
      <w:pPr>
        <w:rPr>
          <w:rFonts w:cstheme="minorHAnsi"/>
          <w:color w:val="000000" w:themeColor="text1"/>
        </w:rPr>
      </w:pPr>
    </w:p>
    <w:p w14:paraId="4C873583" w14:textId="7847AFE6" w:rsidR="001908B4" w:rsidRPr="009D622C" w:rsidRDefault="001908B4" w:rsidP="001908B4">
      <w:pPr>
        <w:rPr>
          <w:rFonts w:cstheme="minorHAnsi"/>
        </w:rPr>
      </w:pPr>
      <w:r w:rsidRPr="009D622C">
        <w:rPr>
          <w:rFonts w:cstheme="minorHAnsi"/>
        </w:rPr>
        <w:t xml:space="preserve">Next, Mr. Alan Burrow </w:t>
      </w:r>
      <w:r w:rsidR="00E405F6" w:rsidRPr="009D622C">
        <w:rPr>
          <w:rFonts w:cstheme="minorHAnsi"/>
        </w:rPr>
        <w:t>reviewed proposed revisions to accountability business rules that will bring the language up to date and add needed clarity and specificity.  The specific edits are</w:t>
      </w:r>
      <w:r w:rsidR="009D622C">
        <w:rPr>
          <w:rFonts w:cstheme="minorHAnsi"/>
        </w:rPr>
        <w:t xml:space="preserve"> presented below.  Additions are shown in </w:t>
      </w:r>
      <w:proofErr w:type="gramStart"/>
      <w:r w:rsidR="009D622C">
        <w:rPr>
          <w:rFonts w:cstheme="minorHAnsi"/>
        </w:rPr>
        <w:t>bold;</w:t>
      </w:r>
      <w:proofErr w:type="gramEnd"/>
      <w:r w:rsidR="009D622C">
        <w:rPr>
          <w:rFonts w:cstheme="minorHAnsi"/>
        </w:rPr>
        <w:t xml:space="preserve"> strikethrough marks deletions. </w:t>
      </w:r>
    </w:p>
    <w:p w14:paraId="67154077" w14:textId="77777777" w:rsidR="00E405F6" w:rsidRPr="009D622C" w:rsidRDefault="00E405F6" w:rsidP="001908B4">
      <w:pPr>
        <w:rPr>
          <w:rFonts w:cstheme="minorHAnsi"/>
        </w:rPr>
      </w:pPr>
    </w:p>
    <w:p w14:paraId="76D5F7A3" w14:textId="77777777" w:rsidR="00E405F6" w:rsidRPr="00E405F6" w:rsidRDefault="00E405F6" w:rsidP="00E405F6">
      <w:pPr>
        <w:ind w:left="720"/>
        <w:rPr>
          <w:rFonts w:eastAsia="Times New Roman" w:cstheme="minorHAnsi"/>
          <w:color w:val="000000" w:themeColor="text1"/>
        </w:rPr>
      </w:pPr>
      <w:proofErr w:type="gramStart"/>
      <w:r w:rsidRPr="00E405F6">
        <w:rPr>
          <w:rFonts w:eastAsia="Times New Roman" w:cstheme="minorHAnsi"/>
          <w:color w:val="000000" w:themeColor="text1"/>
        </w:rPr>
        <w:t>9.2.1  Dual</w:t>
      </w:r>
      <w:proofErr w:type="gramEnd"/>
      <w:r w:rsidRPr="00E405F6">
        <w:rPr>
          <w:rFonts w:eastAsia="Times New Roman" w:cstheme="minorHAnsi"/>
          <w:color w:val="000000" w:themeColor="text1"/>
        </w:rPr>
        <w:t xml:space="preserve"> credit courses must be credit-bearing courses </w:t>
      </w:r>
      <w:r w:rsidRPr="00E405F6">
        <w:rPr>
          <w:rFonts w:eastAsia="Times New Roman" w:cstheme="minorHAnsi"/>
          <w:b/>
          <w:bCs/>
          <w:color w:val="000000" w:themeColor="text1"/>
        </w:rPr>
        <w:t>at both the high school and postsecondary institution</w:t>
      </w:r>
      <w:r w:rsidRPr="00E405F6">
        <w:rPr>
          <w:rFonts w:eastAsia="Times New Roman" w:cstheme="minorHAnsi"/>
          <w:color w:val="000000" w:themeColor="text1"/>
        </w:rPr>
        <w:t xml:space="preserve"> with a minimum of three (3) semester hours credit, and beginning in school year 2019 - 2020, shall be limited to the list of articulated courses found in Appendix V of the current </w:t>
      </w:r>
      <w:r w:rsidRPr="00E405F6">
        <w:rPr>
          <w:rFonts w:eastAsia="Times New Roman" w:cstheme="minorHAnsi"/>
          <w:i/>
          <w:iCs/>
          <w:color w:val="000000" w:themeColor="text1"/>
        </w:rPr>
        <w:t xml:space="preserve">Procedures Manual for the State of Mississippi Dual Enrollment and Accelerated Programs </w:t>
      </w:r>
      <w:r w:rsidRPr="00E405F6">
        <w:rPr>
          <w:rFonts w:eastAsia="Times New Roman" w:cstheme="minorHAnsi"/>
          <w:color w:val="000000" w:themeColor="text1"/>
        </w:rPr>
        <w:t xml:space="preserve">document. Refer to the current edition of the </w:t>
      </w:r>
      <w:r w:rsidRPr="00E405F6">
        <w:rPr>
          <w:rFonts w:eastAsia="Times New Roman" w:cstheme="minorHAnsi"/>
          <w:i/>
          <w:iCs/>
          <w:color w:val="000000" w:themeColor="text1"/>
        </w:rPr>
        <w:t xml:space="preserve">Approved Courses for Secondary Education </w:t>
      </w:r>
      <w:r w:rsidRPr="00E405F6">
        <w:rPr>
          <w:rFonts w:eastAsia="Times New Roman" w:cstheme="minorHAnsi"/>
          <w:color w:val="000000" w:themeColor="text1"/>
        </w:rPr>
        <w:t>for approved Career and Technical Education (CTE) courses.</w:t>
      </w:r>
    </w:p>
    <w:p w14:paraId="098A1491" w14:textId="77777777" w:rsidR="00E405F6" w:rsidRPr="00E405F6" w:rsidRDefault="00E405F6" w:rsidP="00E405F6">
      <w:pPr>
        <w:spacing w:before="240"/>
        <w:ind w:left="720"/>
        <w:rPr>
          <w:rFonts w:eastAsia="Times New Roman" w:cstheme="minorHAnsi"/>
          <w:color w:val="000000" w:themeColor="text1"/>
        </w:rPr>
      </w:pPr>
      <w:r w:rsidRPr="00E405F6">
        <w:rPr>
          <w:rFonts w:eastAsia="Times New Roman" w:cstheme="minorHAnsi"/>
          <w:color w:val="000000" w:themeColor="text1"/>
        </w:rPr>
        <w:t xml:space="preserve">9.3    The Acceleration component will consist of a Participation and a Performance component.  </w:t>
      </w:r>
      <w:r w:rsidRPr="00E405F6">
        <w:rPr>
          <w:rFonts w:eastAsia="Times New Roman" w:cstheme="minorHAnsi"/>
          <w:b/>
          <w:bCs/>
          <w:color w:val="000000" w:themeColor="text1"/>
        </w:rPr>
        <w:t>Each of these components will have a score calculated by dividing the numerator by the denominator and multiplying the resulting value by 50.</w:t>
      </w:r>
      <w:r w:rsidRPr="00E405F6">
        <w:rPr>
          <w:rFonts w:eastAsia="Times New Roman" w:cstheme="minorHAnsi"/>
          <w:color w:val="000000" w:themeColor="text1"/>
        </w:rPr>
        <w:t xml:space="preserve"> These two (2) component</w:t>
      </w:r>
      <w:r w:rsidRPr="00E405F6">
        <w:rPr>
          <w:rFonts w:eastAsia="Times New Roman" w:cstheme="minorHAnsi"/>
          <w:strike/>
          <w:color w:val="000000" w:themeColor="text1"/>
        </w:rPr>
        <w:t>s</w:t>
      </w:r>
      <w:r w:rsidRPr="00E405F6">
        <w:rPr>
          <w:rFonts w:eastAsia="Times New Roman" w:cstheme="minorHAnsi"/>
          <w:color w:val="000000" w:themeColor="text1"/>
        </w:rPr>
        <w:t xml:space="preserve"> </w:t>
      </w:r>
      <w:r w:rsidRPr="00E405F6">
        <w:rPr>
          <w:rFonts w:eastAsia="Times New Roman" w:cstheme="minorHAnsi"/>
          <w:b/>
          <w:bCs/>
          <w:color w:val="000000" w:themeColor="text1"/>
        </w:rPr>
        <w:t xml:space="preserve">scores </w:t>
      </w:r>
      <w:r w:rsidRPr="00E405F6">
        <w:rPr>
          <w:rFonts w:eastAsia="Times New Roman" w:cstheme="minorHAnsi"/>
          <w:color w:val="000000" w:themeColor="text1"/>
        </w:rPr>
        <w:t xml:space="preserve">will </w:t>
      </w:r>
      <w:r w:rsidRPr="00E405F6">
        <w:rPr>
          <w:rFonts w:eastAsia="Times New Roman" w:cstheme="minorHAnsi"/>
          <w:b/>
          <w:bCs/>
          <w:color w:val="000000" w:themeColor="text1"/>
        </w:rPr>
        <w:t>then</w:t>
      </w:r>
      <w:r w:rsidRPr="00E405F6">
        <w:rPr>
          <w:rFonts w:eastAsia="Times New Roman" w:cstheme="minorHAnsi"/>
          <w:color w:val="000000" w:themeColor="text1"/>
        </w:rPr>
        <w:t xml:space="preserve"> be </w:t>
      </w:r>
      <w:r w:rsidRPr="00E405F6">
        <w:rPr>
          <w:rFonts w:eastAsia="Times New Roman" w:cstheme="minorHAnsi"/>
          <w:b/>
          <w:bCs/>
          <w:color w:val="000000" w:themeColor="text1"/>
        </w:rPr>
        <w:t xml:space="preserve">added together </w:t>
      </w:r>
      <w:r w:rsidRPr="00E405F6">
        <w:rPr>
          <w:rFonts w:eastAsia="Times New Roman" w:cstheme="minorHAnsi"/>
          <w:b/>
          <w:bCs/>
          <w:strike/>
          <w:color w:val="000000" w:themeColor="text1"/>
        </w:rPr>
        <w:t>combined</w:t>
      </w:r>
      <w:r w:rsidRPr="00E405F6">
        <w:rPr>
          <w:rFonts w:eastAsia="Times New Roman" w:cstheme="minorHAnsi"/>
          <w:b/>
          <w:bCs/>
          <w:color w:val="000000" w:themeColor="text1"/>
        </w:rPr>
        <w:t xml:space="preserve"> and reported</w:t>
      </w:r>
      <w:r w:rsidRPr="00E405F6">
        <w:rPr>
          <w:rFonts w:eastAsia="Times New Roman" w:cstheme="minorHAnsi"/>
          <w:color w:val="000000" w:themeColor="text1"/>
        </w:rPr>
        <w:t xml:space="preserve"> </w:t>
      </w:r>
      <w:r w:rsidRPr="00E405F6">
        <w:rPr>
          <w:rFonts w:eastAsia="Times New Roman" w:cstheme="minorHAnsi"/>
          <w:strike/>
          <w:color w:val="000000" w:themeColor="text1"/>
        </w:rPr>
        <w:t>for</w:t>
      </w:r>
      <w:r w:rsidRPr="00E405F6">
        <w:rPr>
          <w:rFonts w:eastAsia="Times New Roman" w:cstheme="minorHAnsi"/>
          <w:color w:val="000000" w:themeColor="text1"/>
        </w:rPr>
        <w:t xml:space="preserve"> as one (1) score worth fifty (50) points. </w:t>
      </w:r>
      <w:r w:rsidRPr="00E405F6">
        <w:rPr>
          <w:rFonts w:eastAsia="Times New Roman" w:cstheme="minorHAnsi"/>
          <w:strike/>
          <w:color w:val="000000" w:themeColor="text1"/>
        </w:rPr>
        <w:t>and phased in on the following sliding scale:</w:t>
      </w:r>
    </w:p>
    <w:p w14:paraId="1D12FC5B" w14:textId="77777777" w:rsidR="00E405F6" w:rsidRPr="009D622C" w:rsidRDefault="00E405F6" w:rsidP="00E405F6">
      <w:pPr>
        <w:ind w:left="720"/>
        <w:rPr>
          <w:rFonts w:eastAsia="Times New Roman" w:cstheme="minorHAnsi"/>
          <w:color w:val="595959"/>
        </w:rPr>
      </w:pPr>
    </w:p>
    <w:p w14:paraId="1143A4F8" w14:textId="7C67F6D6" w:rsidR="00E405F6" w:rsidRPr="009D622C" w:rsidRDefault="00E405F6" w:rsidP="00E405F6">
      <w:pPr>
        <w:ind w:left="720"/>
        <w:rPr>
          <w:rFonts w:eastAsia="Times New Roman" w:cstheme="minorHAnsi"/>
          <w:strike/>
          <w:color w:val="000000" w:themeColor="text1"/>
        </w:rPr>
      </w:pPr>
      <w:r w:rsidRPr="00E405F6">
        <w:rPr>
          <w:rFonts w:eastAsia="Times New Roman" w:cstheme="minorHAnsi"/>
          <w:color w:val="000000" w:themeColor="text1"/>
        </w:rPr>
        <w:t xml:space="preserve">9.4.3    The denominator for the Participation component calculation shall include all students whose Mississippi Student Information System (MSIS) grade or peer-grade equivalent is 11th or 12th grade plus any 9th or 10th grade students who </w:t>
      </w:r>
      <w:r w:rsidRPr="00E405F6">
        <w:rPr>
          <w:rFonts w:eastAsia="Times New Roman" w:cstheme="minorHAnsi"/>
          <w:strike/>
          <w:color w:val="000000" w:themeColor="text1"/>
        </w:rPr>
        <w:t>are</w:t>
      </w:r>
      <w:r w:rsidRPr="00E405F6">
        <w:rPr>
          <w:rFonts w:eastAsia="Times New Roman" w:cstheme="minorHAnsi"/>
          <w:color w:val="000000" w:themeColor="text1"/>
        </w:rPr>
        <w:t xml:space="preserve"> </w:t>
      </w:r>
      <w:proofErr w:type="spellStart"/>
      <w:r w:rsidRPr="00E405F6">
        <w:rPr>
          <w:rFonts w:eastAsia="Times New Roman" w:cstheme="minorHAnsi"/>
          <w:b/>
          <w:bCs/>
          <w:color w:val="000000" w:themeColor="text1"/>
        </w:rPr>
        <w:t>take</w:t>
      </w:r>
      <w:r w:rsidRPr="00E405F6">
        <w:rPr>
          <w:rFonts w:eastAsia="Times New Roman" w:cstheme="minorHAnsi"/>
          <w:strike/>
          <w:color w:val="000000" w:themeColor="text1"/>
        </w:rPr>
        <w:t>ing</w:t>
      </w:r>
      <w:proofErr w:type="spellEnd"/>
      <w:r w:rsidRPr="00E405F6">
        <w:rPr>
          <w:rFonts w:eastAsia="Times New Roman" w:cstheme="minorHAnsi"/>
          <w:color w:val="000000" w:themeColor="text1"/>
        </w:rPr>
        <w:t xml:space="preserve"> and pass</w:t>
      </w:r>
      <w:r w:rsidRPr="00E405F6">
        <w:rPr>
          <w:rFonts w:eastAsia="Times New Roman" w:cstheme="minorHAnsi"/>
          <w:strike/>
          <w:color w:val="000000" w:themeColor="text1"/>
        </w:rPr>
        <w:t>ing these</w:t>
      </w:r>
      <w:r w:rsidRPr="00E405F6">
        <w:rPr>
          <w:rFonts w:eastAsia="Times New Roman" w:cstheme="minorHAnsi"/>
          <w:color w:val="000000" w:themeColor="text1"/>
        </w:rPr>
        <w:t xml:space="preserve"> accelerated assessments/courses. </w:t>
      </w:r>
      <w:r w:rsidRPr="00E405F6">
        <w:rPr>
          <w:rFonts w:eastAsia="Times New Roman" w:cstheme="minorHAnsi"/>
          <w:strike/>
          <w:color w:val="000000" w:themeColor="text1"/>
        </w:rPr>
        <w:t>(Ninth (9th) and 10th grade students will not be included in the denominator unless they are also included in the numerator.)</w:t>
      </w:r>
    </w:p>
    <w:p w14:paraId="0DE6771A" w14:textId="77777777" w:rsidR="00E405F6" w:rsidRPr="00E405F6" w:rsidRDefault="00E405F6" w:rsidP="00E405F6">
      <w:pPr>
        <w:ind w:left="720"/>
        <w:rPr>
          <w:rFonts w:eastAsia="Times New Roman" w:cstheme="minorHAnsi"/>
        </w:rPr>
      </w:pPr>
    </w:p>
    <w:p w14:paraId="07575EA5" w14:textId="657487B2" w:rsidR="00E405F6" w:rsidRPr="009D622C" w:rsidRDefault="00E405F6" w:rsidP="00E405F6">
      <w:pPr>
        <w:ind w:left="720"/>
        <w:rPr>
          <w:rFonts w:eastAsia="Times New Roman" w:cstheme="minorHAnsi"/>
          <w:color w:val="000000" w:themeColor="text1"/>
        </w:rPr>
      </w:pPr>
      <w:proofErr w:type="gramStart"/>
      <w:r w:rsidRPr="00E405F6">
        <w:rPr>
          <w:rFonts w:eastAsia="Times New Roman" w:cstheme="minorHAnsi"/>
          <w:color w:val="000000" w:themeColor="text1"/>
        </w:rPr>
        <w:t>9.10  For</w:t>
      </w:r>
      <w:proofErr w:type="gramEnd"/>
      <w:r w:rsidRPr="00E405F6">
        <w:rPr>
          <w:rFonts w:eastAsia="Times New Roman" w:cstheme="minorHAnsi"/>
          <w:color w:val="000000" w:themeColor="text1"/>
        </w:rPr>
        <w:t xml:space="preserve"> students in 9th through 12th grade that participate in </w:t>
      </w:r>
      <w:r w:rsidRPr="00E405F6">
        <w:rPr>
          <w:rFonts w:eastAsia="Times New Roman" w:cstheme="minorHAnsi"/>
          <w:strike/>
          <w:color w:val="000000" w:themeColor="text1"/>
        </w:rPr>
        <w:t>accelerated</w:t>
      </w:r>
      <w:r w:rsidRPr="00E405F6">
        <w:rPr>
          <w:rFonts w:eastAsia="Times New Roman" w:cstheme="minorHAnsi"/>
          <w:color w:val="000000" w:themeColor="text1"/>
        </w:rPr>
        <w:t xml:space="preserve"> </w:t>
      </w:r>
      <w:r w:rsidRPr="00E405F6">
        <w:rPr>
          <w:rFonts w:eastAsia="Times New Roman" w:cstheme="minorHAnsi"/>
          <w:b/>
          <w:bCs/>
          <w:color w:val="000000" w:themeColor="text1"/>
        </w:rPr>
        <w:t>IB</w:t>
      </w:r>
      <w:r w:rsidRPr="00E405F6">
        <w:rPr>
          <w:rFonts w:eastAsia="Times New Roman" w:cstheme="minorHAnsi"/>
          <w:color w:val="000000" w:themeColor="text1"/>
        </w:rPr>
        <w:t xml:space="preserve"> courses as described in Section 9.2 that are designed with a two (2) year curriculum and do not have an associated assessment in the first year, the student will be included in </w:t>
      </w:r>
      <w:r w:rsidRPr="00E405F6">
        <w:rPr>
          <w:rFonts w:eastAsia="Times New Roman" w:cstheme="minorHAnsi"/>
          <w:color w:val="000000" w:themeColor="text1"/>
        </w:rPr>
        <w:lastRenderedPageBreak/>
        <w:t>participation calculations but will be excluded from performance measures in the first year and will be included in both participation and performance measures in year two (2).</w:t>
      </w:r>
    </w:p>
    <w:p w14:paraId="4286A596" w14:textId="77777777" w:rsidR="00E405F6" w:rsidRPr="00E405F6" w:rsidRDefault="00E405F6" w:rsidP="00E405F6">
      <w:pPr>
        <w:ind w:left="720"/>
        <w:rPr>
          <w:rFonts w:eastAsia="Times New Roman" w:cstheme="minorHAnsi"/>
          <w:color w:val="000000"/>
        </w:rPr>
      </w:pPr>
    </w:p>
    <w:p w14:paraId="3DD68D6C" w14:textId="77777777" w:rsidR="00E405F6" w:rsidRPr="00E405F6" w:rsidRDefault="00E405F6" w:rsidP="00E405F6">
      <w:pPr>
        <w:ind w:left="720"/>
        <w:rPr>
          <w:rFonts w:eastAsia="Times New Roman" w:cstheme="minorHAnsi"/>
          <w:color w:val="000000" w:themeColor="text1"/>
        </w:rPr>
      </w:pPr>
      <w:r w:rsidRPr="00E405F6">
        <w:rPr>
          <w:rFonts w:eastAsia="Times New Roman" w:cstheme="minorHAnsi"/>
          <w:color w:val="000000" w:themeColor="text1"/>
        </w:rPr>
        <w:t xml:space="preserve">9.12   </w:t>
      </w:r>
      <w:r w:rsidRPr="00E405F6">
        <w:rPr>
          <w:rFonts w:eastAsia="Times New Roman" w:cstheme="minorHAnsi"/>
          <w:b/>
          <w:bCs/>
          <w:color w:val="000000" w:themeColor="text1"/>
        </w:rPr>
        <w:t>Ungraded SCD students, as defined in 16.4 and 16.5, will not be included in participation or performance measures once the student has reached age 18 as of September 1st of the school year.</w:t>
      </w:r>
    </w:p>
    <w:p w14:paraId="67589F2B" w14:textId="2BE1A48C" w:rsidR="00E405F6" w:rsidRPr="009D622C" w:rsidRDefault="00E405F6" w:rsidP="001908B4">
      <w:pPr>
        <w:rPr>
          <w:rFonts w:cstheme="minorHAnsi"/>
        </w:rPr>
      </w:pPr>
    </w:p>
    <w:p w14:paraId="7A487F05" w14:textId="77777777" w:rsidR="00E405F6" w:rsidRPr="00E405F6" w:rsidRDefault="00E405F6" w:rsidP="009D622C">
      <w:pPr>
        <w:ind w:left="720"/>
        <w:rPr>
          <w:rFonts w:eastAsia="Times New Roman" w:cstheme="minorHAnsi"/>
          <w:color w:val="000000" w:themeColor="text1"/>
        </w:rPr>
      </w:pPr>
      <w:r w:rsidRPr="00E405F6">
        <w:rPr>
          <w:rFonts w:eastAsia="Times New Roman" w:cstheme="minorHAnsi"/>
          <w:color w:val="000000" w:themeColor="text1"/>
        </w:rPr>
        <w:t>15.3</w:t>
      </w:r>
      <w:r w:rsidRPr="00E405F6">
        <w:rPr>
          <w:rFonts w:eastAsia="Times New Roman" w:cstheme="minorHAnsi"/>
          <w:color w:val="000000" w:themeColor="text1"/>
        </w:rPr>
        <w:tab/>
        <w:t xml:space="preserve">Progress toward proficiency will be calculated for all EL students using the state English Language Proficiency Test (ELPT). An annual progress goal will be calculated for each student based on reaching </w:t>
      </w:r>
      <w:r w:rsidRPr="00E405F6">
        <w:rPr>
          <w:rFonts w:eastAsia="Times New Roman" w:cstheme="minorHAnsi"/>
          <w:b/>
          <w:bCs/>
          <w:color w:val="000000" w:themeColor="text1"/>
        </w:rPr>
        <w:t>overall</w:t>
      </w:r>
      <w:r w:rsidRPr="00E405F6">
        <w:rPr>
          <w:rFonts w:eastAsia="Times New Roman" w:cstheme="minorHAnsi"/>
          <w:color w:val="000000" w:themeColor="text1"/>
        </w:rPr>
        <w:t xml:space="preserve"> proficiency on the ELPT within five (5) years of entry into an EL program. The annual progress goal will be equal to the minimum </w:t>
      </w:r>
      <w:r w:rsidRPr="00E405F6">
        <w:rPr>
          <w:rFonts w:eastAsia="Times New Roman" w:cstheme="minorHAnsi"/>
          <w:b/>
          <w:bCs/>
          <w:color w:val="000000" w:themeColor="text1"/>
        </w:rPr>
        <w:t>overall</w:t>
      </w:r>
      <w:r w:rsidRPr="00E405F6">
        <w:rPr>
          <w:rFonts w:eastAsia="Times New Roman" w:cstheme="minorHAnsi"/>
          <w:color w:val="000000" w:themeColor="text1"/>
        </w:rPr>
        <w:t xml:space="preserve"> </w:t>
      </w:r>
      <w:r w:rsidRPr="00E405F6">
        <w:rPr>
          <w:rFonts w:eastAsia="Times New Roman" w:cstheme="minorHAnsi"/>
          <w:b/>
          <w:bCs/>
          <w:color w:val="000000" w:themeColor="text1"/>
        </w:rPr>
        <w:t xml:space="preserve">scale </w:t>
      </w:r>
      <w:r w:rsidRPr="00E405F6">
        <w:rPr>
          <w:rFonts w:eastAsia="Times New Roman" w:cstheme="minorHAnsi"/>
          <w:color w:val="000000" w:themeColor="text1"/>
        </w:rPr>
        <w:t xml:space="preserve">score needed to achieve proficiency at year five (5), minus the prior year </w:t>
      </w:r>
      <w:r w:rsidRPr="00E405F6">
        <w:rPr>
          <w:rFonts w:eastAsia="Times New Roman" w:cstheme="minorHAnsi"/>
          <w:b/>
          <w:bCs/>
          <w:color w:val="000000" w:themeColor="text1"/>
        </w:rPr>
        <w:t xml:space="preserve">overall scale </w:t>
      </w:r>
      <w:r w:rsidRPr="00E405F6">
        <w:rPr>
          <w:rFonts w:eastAsia="Times New Roman" w:cstheme="minorHAnsi"/>
          <w:color w:val="000000" w:themeColor="text1"/>
        </w:rPr>
        <w:t>score, divided by the number of years the student had remaining to exit the EL program in the prior year.</w:t>
      </w:r>
    </w:p>
    <w:p w14:paraId="4A3DE005" w14:textId="2AE347CE" w:rsidR="00E405F6" w:rsidRPr="00E405F6" w:rsidRDefault="00E405F6" w:rsidP="009D622C">
      <w:pPr>
        <w:spacing w:before="240"/>
        <w:ind w:left="720"/>
        <w:rPr>
          <w:rFonts w:eastAsia="Times New Roman" w:cstheme="minorHAnsi"/>
          <w:color w:val="000000" w:themeColor="text1"/>
        </w:rPr>
      </w:pPr>
      <w:r w:rsidRPr="00E405F6">
        <w:rPr>
          <w:rFonts w:eastAsia="Times New Roman" w:cstheme="minorHAnsi"/>
          <w:color w:val="000000" w:themeColor="text1"/>
        </w:rPr>
        <w:t>15.3.1</w:t>
      </w:r>
      <w:r w:rsidRPr="00E405F6">
        <w:rPr>
          <w:rFonts w:eastAsia="Times New Roman" w:cstheme="minorHAnsi"/>
          <w:color w:val="000000" w:themeColor="text1"/>
        </w:rPr>
        <w:tab/>
        <w:t xml:space="preserve">In year five (5) and beyond, the annual progress goal is equal to the minimum </w:t>
      </w:r>
      <w:r w:rsidRPr="00E405F6">
        <w:rPr>
          <w:rFonts w:eastAsia="Times New Roman" w:cstheme="minorHAnsi"/>
          <w:b/>
          <w:bCs/>
          <w:color w:val="000000" w:themeColor="text1"/>
        </w:rPr>
        <w:t>scale</w:t>
      </w:r>
      <w:r w:rsidRPr="00E405F6">
        <w:rPr>
          <w:rFonts w:eastAsia="Times New Roman" w:cstheme="minorHAnsi"/>
          <w:color w:val="000000" w:themeColor="text1"/>
        </w:rPr>
        <w:t xml:space="preserve"> score needed to achieve </w:t>
      </w:r>
      <w:r w:rsidRPr="00E405F6">
        <w:rPr>
          <w:rFonts w:eastAsia="Times New Roman" w:cstheme="minorHAnsi"/>
          <w:b/>
          <w:bCs/>
          <w:color w:val="000000" w:themeColor="text1"/>
        </w:rPr>
        <w:t>overall</w:t>
      </w:r>
      <w:r w:rsidRPr="00E405F6">
        <w:rPr>
          <w:rFonts w:eastAsia="Times New Roman" w:cstheme="minorHAnsi"/>
          <w:color w:val="000000" w:themeColor="text1"/>
        </w:rPr>
        <w:t xml:space="preserve"> proficiency, minus the prior year </w:t>
      </w:r>
      <w:r w:rsidRPr="00E405F6">
        <w:rPr>
          <w:rFonts w:eastAsia="Times New Roman" w:cstheme="minorHAnsi"/>
          <w:b/>
          <w:bCs/>
          <w:color w:val="000000" w:themeColor="text1"/>
        </w:rPr>
        <w:t>overall scale</w:t>
      </w:r>
      <w:r w:rsidRPr="00E405F6">
        <w:rPr>
          <w:rFonts w:eastAsia="Times New Roman" w:cstheme="minorHAnsi"/>
          <w:color w:val="000000" w:themeColor="text1"/>
        </w:rPr>
        <w:t xml:space="preserve"> score.</w:t>
      </w:r>
    </w:p>
    <w:p w14:paraId="42C80DBD" w14:textId="77777777" w:rsidR="00E405F6" w:rsidRPr="00E405F6" w:rsidRDefault="00E405F6" w:rsidP="009D622C">
      <w:pPr>
        <w:spacing w:before="240"/>
        <w:ind w:left="720"/>
        <w:rPr>
          <w:rFonts w:eastAsia="Times New Roman" w:cstheme="minorHAnsi"/>
          <w:color w:val="000000" w:themeColor="text1"/>
        </w:rPr>
      </w:pPr>
      <w:r w:rsidRPr="00E405F6">
        <w:rPr>
          <w:rFonts w:eastAsia="Times New Roman" w:cstheme="minorHAnsi"/>
          <w:color w:val="000000" w:themeColor="text1"/>
        </w:rPr>
        <w:t>15.4</w:t>
      </w:r>
      <w:r w:rsidRPr="00E405F6">
        <w:rPr>
          <w:rFonts w:eastAsia="Times New Roman" w:cstheme="minorHAnsi"/>
          <w:color w:val="000000" w:themeColor="text1"/>
        </w:rPr>
        <w:tab/>
        <w:t xml:space="preserve">EL performance will be measured by the annual progress achieved by EL students. Each student will have a rate ranging between zero (0) and one (1) based on the student’s current year ELPT </w:t>
      </w:r>
      <w:r w:rsidRPr="00E405F6">
        <w:rPr>
          <w:rFonts w:eastAsia="Times New Roman" w:cstheme="minorHAnsi"/>
          <w:b/>
          <w:bCs/>
          <w:color w:val="000000" w:themeColor="text1"/>
        </w:rPr>
        <w:t>overall scale</w:t>
      </w:r>
      <w:r w:rsidRPr="00E405F6">
        <w:rPr>
          <w:rFonts w:eastAsia="Times New Roman" w:cstheme="minorHAnsi"/>
          <w:color w:val="000000" w:themeColor="text1"/>
        </w:rPr>
        <w:t xml:space="preserve"> score, minus the prior year </w:t>
      </w:r>
      <w:r w:rsidRPr="00E405F6">
        <w:rPr>
          <w:rFonts w:eastAsia="Times New Roman" w:cstheme="minorHAnsi"/>
          <w:b/>
          <w:bCs/>
          <w:color w:val="000000" w:themeColor="text1"/>
        </w:rPr>
        <w:t>overall scale</w:t>
      </w:r>
      <w:r w:rsidRPr="00E405F6">
        <w:rPr>
          <w:rFonts w:eastAsia="Times New Roman" w:cstheme="minorHAnsi"/>
          <w:color w:val="000000" w:themeColor="text1"/>
        </w:rPr>
        <w:t xml:space="preserve"> score, divided by the annual progress goal as defined in 15.3. Any student who does not demonstrate progress will have a rate of zero (0). No student will receive a rate higher than one (1).</w:t>
      </w:r>
    </w:p>
    <w:p w14:paraId="0FC3D10C" w14:textId="2B4C2C52" w:rsidR="00E405F6" w:rsidRPr="00E405F6" w:rsidRDefault="00E405F6" w:rsidP="009D622C">
      <w:pPr>
        <w:spacing w:before="240"/>
        <w:ind w:left="720"/>
        <w:rPr>
          <w:rFonts w:eastAsia="Times New Roman" w:cstheme="minorHAnsi"/>
          <w:color w:val="000000" w:themeColor="text1"/>
        </w:rPr>
      </w:pPr>
      <w:r w:rsidRPr="00E405F6">
        <w:rPr>
          <w:rFonts w:eastAsia="Times New Roman" w:cstheme="minorHAnsi"/>
          <w:color w:val="000000" w:themeColor="text1"/>
        </w:rPr>
        <w:t>15.4.1</w:t>
      </w:r>
      <w:r w:rsidRPr="00E405F6">
        <w:rPr>
          <w:rFonts w:eastAsia="Times New Roman" w:cstheme="minorHAnsi"/>
          <w:color w:val="000000" w:themeColor="text1"/>
        </w:rPr>
        <w:tab/>
        <w:t>The student must meet FAY requirements in the current year but is not required to meet FAY requirements in the prior year.</w:t>
      </w:r>
    </w:p>
    <w:p w14:paraId="6637747A" w14:textId="77777777" w:rsidR="00E405F6" w:rsidRPr="00E405F6" w:rsidRDefault="00E405F6" w:rsidP="00E405F6">
      <w:pPr>
        <w:spacing w:before="240"/>
        <w:rPr>
          <w:rFonts w:eastAsia="Times New Roman" w:cstheme="minorHAnsi"/>
          <w:color w:val="000000" w:themeColor="text1"/>
        </w:rPr>
      </w:pPr>
      <w:r w:rsidRPr="00E405F6">
        <w:rPr>
          <w:rFonts w:eastAsia="Times New Roman" w:cstheme="minorHAnsi"/>
          <w:color w:val="595959"/>
        </w:rPr>
        <w:tab/>
      </w:r>
      <w:r w:rsidRPr="00E405F6">
        <w:rPr>
          <w:rFonts w:eastAsia="Times New Roman" w:cstheme="minorHAnsi"/>
          <w:color w:val="000000" w:themeColor="text1"/>
        </w:rPr>
        <w:t>15.4.2</w:t>
      </w:r>
      <w:r w:rsidRPr="00E405F6">
        <w:rPr>
          <w:rFonts w:eastAsia="Times New Roman" w:cstheme="minorHAnsi"/>
          <w:color w:val="000000" w:themeColor="text1"/>
        </w:rPr>
        <w:tab/>
        <w:t>The student must have a prior year score to be included in the calculation.</w:t>
      </w:r>
    </w:p>
    <w:p w14:paraId="787C5238" w14:textId="71A507A4" w:rsidR="00E405F6" w:rsidRPr="009D622C" w:rsidRDefault="00E405F6" w:rsidP="009D622C">
      <w:pPr>
        <w:ind w:left="720" w:hanging="720"/>
        <w:rPr>
          <w:rFonts w:eastAsia="Times New Roman" w:cstheme="minorHAnsi"/>
          <w:color w:val="000000" w:themeColor="text1"/>
        </w:rPr>
      </w:pPr>
      <w:r w:rsidRPr="00E405F6">
        <w:rPr>
          <w:rFonts w:eastAsia="Times New Roman" w:cstheme="minorHAnsi"/>
          <w:color w:val="000000" w:themeColor="text1"/>
        </w:rPr>
        <w:tab/>
      </w:r>
      <w:r w:rsidRPr="00E405F6">
        <w:rPr>
          <w:rFonts w:eastAsia="Times New Roman" w:cstheme="minorHAnsi"/>
          <w:b/>
          <w:bCs/>
          <w:color w:val="000000" w:themeColor="text1"/>
        </w:rPr>
        <w:t>15.4.3</w:t>
      </w:r>
      <w:r w:rsidRPr="00E405F6">
        <w:rPr>
          <w:rFonts w:eastAsia="Times New Roman" w:cstheme="minorHAnsi"/>
          <w:b/>
          <w:bCs/>
          <w:color w:val="000000" w:themeColor="text1"/>
        </w:rPr>
        <w:tab/>
        <w:t>EL students that have reached overall proficiency on the ELPT shall not be included in the EL Performance component in subsequent years</w:t>
      </w:r>
      <w:r w:rsidRPr="00E405F6">
        <w:rPr>
          <w:rFonts w:eastAsia="Times New Roman" w:cstheme="minorHAnsi"/>
          <w:color w:val="000000" w:themeColor="text1"/>
        </w:rPr>
        <w:t>.</w:t>
      </w:r>
    </w:p>
    <w:p w14:paraId="63231796" w14:textId="544CBCD1" w:rsidR="009D622C" w:rsidRDefault="009D622C" w:rsidP="009D622C">
      <w:pPr>
        <w:ind w:left="720" w:hanging="720"/>
        <w:rPr>
          <w:rFonts w:eastAsia="Times New Roman" w:cstheme="minorHAnsi"/>
          <w:color w:val="FF0000"/>
        </w:rPr>
      </w:pPr>
    </w:p>
    <w:p w14:paraId="7CDB6089" w14:textId="281A58AE" w:rsidR="009D622C" w:rsidRPr="009D622C" w:rsidRDefault="009D622C" w:rsidP="009D622C">
      <w:pPr>
        <w:ind w:left="720"/>
        <w:rPr>
          <w:rFonts w:ascii="Calibri" w:eastAsia="Times New Roman" w:hAnsi="Calibri" w:cs="Calibri"/>
          <w:color w:val="000000" w:themeColor="text1"/>
        </w:rPr>
      </w:pPr>
      <w:r w:rsidRPr="009D622C">
        <w:rPr>
          <w:rFonts w:ascii="Calibri" w:eastAsia="Times New Roman" w:hAnsi="Calibri" w:cs="Calibri"/>
          <w:color w:val="000000" w:themeColor="text1"/>
        </w:rPr>
        <w:t xml:space="preserve">19.1    In the calculation of each of the components in the statewide accountability system </w:t>
      </w:r>
      <w:r w:rsidRPr="009D622C">
        <w:rPr>
          <w:rFonts w:ascii="Calibri" w:eastAsia="Times New Roman" w:hAnsi="Calibri" w:cs="Calibri"/>
          <w:strike/>
          <w:color w:val="000000" w:themeColor="text1"/>
        </w:rPr>
        <w:t>that are reported to schools</w:t>
      </w:r>
      <w:r w:rsidRPr="009D622C">
        <w:rPr>
          <w:rFonts w:ascii="Calibri" w:eastAsia="Times New Roman" w:hAnsi="Calibri" w:cs="Calibri"/>
          <w:color w:val="000000" w:themeColor="text1"/>
        </w:rPr>
        <w:t xml:space="preserve">, the final value of each component will be rounded to one (1) decimal place (tenths place). </w:t>
      </w:r>
      <w:r w:rsidRPr="009D622C">
        <w:rPr>
          <w:rFonts w:ascii="Calibri" w:eastAsia="Times New Roman" w:hAnsi="Calibri" w:cs="Calibri"/>
          <w:b/>
          <w:bCs/>
          <w:color w:val="000000" w:themeColor="text1"/>
        </w:rPr>
        <w:t>Any weighting of components is then applied to the rounded value</w:t>
      </w:r>
      <w:r w:rsidRPr="009D622C">
        <w:rPr>
          <w:rFonts w:ascii="Calibri" w:eastAsia="Times New Roman" w:hAnsi="Calibri" w:cs="Calibri"/>
          <w:color w:val="000000" w:themeColor="text1"/>
        </w:rPr>
        <w:t xml:space="preserve">.  After the </w:t>
      </w:r>
      <w:r w:rsidRPr="009D622C">
        <w:rPr>
          <w:rFonts w:ascii="Calibri" w:eastAsia="Times New Roman" w:hAnsi="Calibri" w:cs="Calibri"/>
          <w:b/>
          <w:bCs/>
          <w:color w:val="000000" w:themeColor="text1"/>
        </w:rPr>
        <w:t xml:space="preserve">weighted </w:t>
      </w:r>
      <w:r w:rsidRPr="009D622C">
        <w:rPr>
          <w:rFonts w:ascii="Calibri" w:eastAsia="Times New Roman" w:hAnsi="Calibri" w:cs="Calibri"/>
          <w:color w:val="000000" w:themeColor="text1"/>
        </w:rPr>
        <w:t>components are summed, the total value will be rounded to a whole number and reported for the final performance classification calculation.</w:t>
      </w:r>
    </w:p>
    <w:p w14:paraId="15C8C0A3" w14:textId="5192F43F" w:rsidR="009D622C" w:rsidRPr="009D622C" w:rsidRDefault="009D622C" w:rsidP="009D622C">
      <w:pPr>
        <w:ind w:left="720"/>
        <w:rPr>
          <w:rFonts w:ascii="Calibri" w:eastAsia="Times New Roman" w:hAnsi="Calibri" w:cs="Calibri"/>
          <w:color w:val="595959"/>
        </w:rPr>
      </w:pPr>
    </w:p>
    <w:p w14:paraId="16CE87DC" w14:textId="77777777" w:rsidR="009D622C" w:rsidRPr="009D622C" w:rsidRDefault="009D622C" w:rsidP="009D622C">
      <w:pPr>
        <w:ind w:left="720"/>
        <w:rPr>
          <w:rFonts w:ascii="Times New Roman" w:eastAsia="Times New Roman" w:hAnsi="Times New Roman" w:cs="Times New Roman"/>
          <w:b/>
          <w:bCs/>
          <w:color w:val="000000" w:themeColor="text1"/>
        </w:rPr>
      </w:pPr>
      <w:r w:rsidRPr="009D622C">
        <w:rPr>
          <w:rFonts w:ascii="Calibri" w:eastAsia="Times New Roman" w:hAnsi="Calibri" w:cs="Calibri"/>
          <w:b/>
          <w:bCs/>
          <w:color w:val="000000" w:themeColor="text1"/>
        </w:rPr>
        <w:t xml:space="preserve">25.15    ACT </w:t>
      </w:r>
      <w:proofErr w:type="spellStart"/>
      <w:r w:rsidRPr="009D622C">
        <w:rPr>
          <w:rFonts w:ascii="Calibri" w:eastAsia="Times New Roman" w:hAnsi="Calibri" w:cs="Calibri"/>
          <w:b/>
          <w:bCs/>
          <w:color w:val="000000" w:themeColor="text1"/>
        </w:rPr>
        <w:t>WorkKeys</w:t>
      </w:r>
      <w:proofErr w:type="spellEnd"/>
      <w:r w:rsidRPr="009D622C">
        <w:rPr>
          <w:rFonts w:ascii="Calibri" w:eastAsia="Times New Roman" w:hAnsi="Calibri" w:cs="Calibri"/>
          <w:b/>
          <w:bCs/>
          <w:color w:val="000000" w:themeColor="text1"/>
        </w:rPr>
        <w:t xml:space="preserve"> is not included in participation calculations and does not replace the ACT participation requirement defined in 25.14.</w:t>
      </w:r>
    </w:p>
    <w:p w14:paraId="0DB0F639" w14:textId="249B350A" w:rsidR="009D622C" w:rsidRPr="009D622C" w:rsidRDefault="009D622C" w:rsidP="009D622C">
      <w:pPr>
        <w:ind w:left="720"/>
        <w:rPr>
          <w:rFonts w:ascii="Times New Roman" w:eastAsia="Times New Roman" w:hAnsi="Times New Roman" w:cs="Times New Roman"/>
        </w:rPr>
      </w:pPr>
    </w:p>
    <w:p w14:paraId="17E817A7" w14:textId="77777777" w:rsidR="009D622C" w:rsidRPr="009D622C" w:rsidRDefault="009D622C" w:rsidP="009D622C">
      <w:pPr>
        <w:ind w:left="720"/>
        <w:rPr>
          <w:rFonts w:eastAsia="Times New Roman" w:cstheme="minorHAnsi"/>
          <w:color w:val="000000" w:themeColor="text1"/>
        </w:rPr>
      </w:pPr>
      <w:r w:rsidRPr="009D622C">
        <w:rPr>
          <w:rFonts w:eastAsia="Times New Roman" w:cstheme="minorHAnsi"/>
          <w:color w:val="000000" w:themeColor="text1"/>
        </w:rPr>
        <w:lastRenderedPageBreak/>
        <w:t xml:space="preserve">27.2.1    Beginning in school year 2013-2014, foreign exchange students will automatically be included in accountability calculations just as any other students. However, if a </w:t>
      </w:r>
      <w:r w:rsidRPr="009D622C">
        <w:rPr>
          <w:rFonts w:eastAsia="Times New Roman" w:cstheme="minorHAnsi"/>
          <w:strike/>
          <w:color w:val="000000" w:themeColor="text1"/>
        </w:rPr>
        <w:t>school/</w:t>
      </w:r>
      <w:r w:rsidRPr="009D622C">
        <w:rPr>
          <w:rFonts w:eastAsia="Times New Roman" w:cstheme="minorHAnsi"/>
          <w:color w:val="000000" w:themeColor="text1"/>
        </w:rPr>
        <w:t xml:space="preserve">district wishes to have a foreign exchange student excluded from the accountability calculations, the request should be made through the Internal Review Process </w:t>
      </w:r>
      <w:r w:rsidRPr="009D622C">
        <w:rPr>
          <w:rFonts w:eastAsia="Times New Roman" w:cstheme="minorHAnsi"/>
          <w:b/>
          <w:bCs/>
          <w:color w:val="000000" w:themeColor="text1"/>
        </w:rPr>
        <w:t>and documentation of the student’s participation in the foreign exchange program must be provided in the request.</w:t>
      </w:r>
    </w:p>
    <w:p w14:paraId="714E87BD" w14:textId="77777777" w:rsidR="009D622C" w:rsidRPr="009D622C" w:rsidRDefault="009D622C" w:rsidP="009D622C">
      <w:pPr>
        <w:ind w:left="720"/>
        <w:rPr>
          <w:rFonts w:ascii="Times New Roman" w:eastAsia="Times New Roman" w:hAnsi="Times New Roman" w:cs="Times New Roman"/>
        </w:rPr>
      </w:pPr>
    </w:p>
    <w:p w14:paraId="2676F72F" w14:textId="77777777" w:rsidR="0063133F" w:rsidRDefault="009D622C" w:rsidP="001908B4">
      <w:pPr>
        <w:rPr>
          <w:rFonts w:cstheme="minorHAnsi"/>
        </w:rPr>
      </w:pPr>
      <w:r>
        <w:rPr>
          <w:rFonts w:cstheme="minorHAnsi"/>
        </w:rPr>
        <w:t xml:space="preserve">There were no objections to the proposed business rule changes.  </w:t>
      </w:r>
    </w:p>
    <w:p w14:paraId="322AB20A" w14:textId="77777777" w:rsidR="0063133F" w:rsidRDefault="0063133F" w:rsidP="001908B4">
      <w:pPr>
        <w:rPr>
          <w:rFonts w:cstheme="minorHAnsi"/>
        </w:rPr>
      </w:pPr>
    </w:p>
    <w:p w14:paraId="71DE70BA" w14:textId="3CF58637" w:rsidR="0063133F" w:rsidRDefault="0063133F" w:rsidP="001908B4">
      <w:pPr>
        <w:rPr>
          <w:rFonts w:cstheme="minorHAnsi"/>
        </w:rPr>
      </w:pPr>
      <w:r>
        <w:rPr>
          <w:rFonts w:cstheme="minorHAnsi"/>
        </w:rPr>
        <w:t xml:space="preserve">There was a brief discussion about how points should be reported.  Task force members requested that MDE always report the final points for each component so that it is additive to correctly produce the total reported score.   </w:t>
      </w:r>
    </w:p>
    <w:p w14:paraId="74BB110D" w14:textId="478A0361" w:rsidR="0063133F" w:rsidRDefault="0063133F" w:rsidP="001908B4">
      <w:pPr>
        <w:rPr>
          <w:rFonts w:cstheme="minorHAnsi"/>
        </w:rPr>
      </w:pPr>
    </w:p>
    <w:p w14:paraId="5398F361" w14:textId="7EC1C9EE" w:rsidR="00716D56" w:rsidRPr="009D622C" w:rsidRDefault="00AF054B" w:rsidP="0009100C">
      <w:pPr>
        <w:rPr>
          <w:rFonts w:cstheme="minorHAnsi"/>
          <w:b/>
          <w:bCs/>
          <w:color w:val="000000" w:themeColor="text1"/>
        </w:rPr>
      </w:pPr>
      <w:r>
        <w:rPr>
          <w:rFonts w:cstheme="minorHAnsi"/>
          <w:b/>
          <w:bCs/>
          <w:color w:val="000000" w:themeColor="text1"/>
        </w:rPr>
        <w:t xml:space="preserve">Beyond Academics </w:t>
      </w:r>
    </w:p>
    <w:p w14:paraId="35C630D9" w14:textId="0F4CCDA0" w:rsidR="001D021C" w:rsidRPr="009D622C" w:rsidRDefault="001D021C" w:rsidP="0009100C">
      <w:pPr>
        <w:rPr>
          <w:rFonts w:cstheme="minorHAnsi"/>
          <w:b/>
          <w:bCs/>
          <w:color w:val="000000" w:themeColor="text1"/>
        </w:rPr>
      </w:pPr>
    </w:p>
    <w:p w14:paraId="4CA05D7C" w14:textId="1E8CD9A7" w:rsidR="000F2FFE" w:rsidRDefault="00AF054B" w:rsidP="00AF054B">
      <w:pPr>
        <w:rPr>
          <w:rFonts w:cstheme="minorHAnsi"/>
          <w:color w:val="000000" w:themeColor="text1"/>
        </w:rPr>
      </w:pPr>
      <w:r>
        <w:rPr>
          <w:rFonts w:cstheme="minorHAnsi"/>
          <w:color w:val="000000" w:themeColor="text1"/>
        </w:rPr>
        <w:t xml:space="preserve">Next, Dr. Domaleski explained that the MDE </w:t>
      </w:r>
      <w:r w:rsidR="0077038C">
        <w:rPr>
          <w:rFonts w:cstheme="minorHAnsi"/>
          <w:color w:val="000000" w:themeColor="text1"/>
        </w:rPr>
        <w:t>has received</w:t>
      </w:r>
      <w:r w:rsidRPr="00AF054B">
        <w:rPr>
          <w:rFonts w:ascii="Calibri" w:eastAsia="Times New Roman" w:hAnsi="Calibri" w:cs="Calibri"/>
          <w:color w:val="000000" w:themeColor="text1"/>
        </w:rPr>
        <w:t xml:space="preserve"> feedback suggesting the indicators of school quality and student success included in the state accountability model should be broadened</w:t>
      </w:r>
      <w:r>
        <w:rPr>
          <w:rFonts w:cstheme="minorHAnsi"/>
          <w:color w:val="000000" w:themeColor="text1"/>
        </w:rPr>
        <w:t xml:space="preserve">. </w:t>
      </w:r>
      <w:r w:rsidRPr="00AF054B">
        <w:rPr>
          <w:rFonts w:ascii="Calibri" w:eastAsia="Times New Roman" w:hAnsi="Calibri" w:cs="Calibri"/>
          <w:color w:val="000000" w:themeColor="text1"/>
        </w:rPr>
        <w:t>Often the feedback is framed as a desire to include more sources of information beyond academic achievement given the prominent role of proficiency and growth in the current model</w:t>
      </w:r>
      <w:r>
        <w:rPr>
          <w:rFonts w:cstheme="minorHAnsi"/>
          <w:color w:val="000000" w:themeColor="text1"/>
        </w:rPr>
        <w:t xml:space="preserve">.  Therefore, the accountability task force was asked to help the MDE </w:t>
      </w:r>
      <w:r w:rsidR="000F2FFE">
        <w:rPr>
          <w:rFonts w:cstheme="minorHAnsi"/>
          <w:color w:val="000000" w:themeColor="text1"/>
        </w:rPr>
        <w:t xml:space="preserve">identify priorities for broadening the range of indicators.  </w:t>
      </w:r>
    </w:p>
    <w:p w14:paraId="19404B18" w14:textId="528DA0A0" w:rsidR="000F2FFE" w:rsidRDefault="000F2FFE" w:rsidP="00AF054B">
      <w:pPr>
        <w:rPr>
          <w:rFonts w:cstheme="minorHAnsi"/>
          <w:color w:val="000000" w:themeColor="text1"/>
        </w:rPr>
      </w:pPr>
    </w:p>
    <w:p w14:paraId="00876490" w14:textId="7181AC5C" w:rsidR="000F2FFE" w:rsidRPr="000F2FFE" w:rsidRDefault="000F2FFE" w:rsidP="000F2FFE">
      <w:pPr>
        <w:rPr>
          <w:rFonts w:cstheme="minorHAnsi"/>
          <w:color w:val="000000" w:themeColor="text1"/>
        </w:rPr>
      </w:pPr>
      <w:r w:rsidRPr="000F2FFE">
        <w:rPr>
          <w:rFonts w:cstheme="minorHAnsi"/>
          <w:color w:val="000000" w:themeColor="text1"/>
        </w:rPr>
        <w:t xml:space="preserve">Dr. Domaleski reviewed some prominent research related to post-secondary success and trans-academic skills.  He also summarized the range of state accountability practices for these components.   </w:t>
      </w:r>
      <w:r w:rsidRPr="000F2FFE">
        <w:rPr>
          <w:rFonts w:eastAsia="Times New Roman" w:cstheme="minorHAnsi"/>
          <w:color w:val="000000" w:themeColor="text1"/>
        </w:rPr>
        <w:t xml:space="preserve">Most states have expanded the range of </w:t>
      </w:r>
      <w:r w:rsidRPr="000F2FFE">
        <w:rPr>
          <w:rFonts w:eastAsia="Times New Roman" w:cstheme="minorHAnsi"/>
          <w:color w:val="000000" w:themeColor="text1"/>
        </w:rPr>
        <w:t xml:space="preserve">readiness </w:t>
      </w:r>
      <w:r w:rsidRPr="000F2FFE">
        <w:rPr>
          <w:rFonts w:eastAsia="Times New Roman" w:cstheme="minorHAnsi"/>
          <w:color w:val="000000" w:themeColor="text1"/>
        </w:rPr>
        <w:t xml:space="preserve">indicators in recent years to include advanced coursework and selected </w:t>
      </w:r>
      <w:r w:rsidR="0077038C">
        <w:rPr>
          <w:rFonts w:eastAsia="Times New Roman" w:cstheme="minorHAnsi"/>
          <w:color w:val="000000" w:themeColor="text1"/>
        </w:rPr>
        <w:t>career-ready</w:t>
      </w:r>
      <w:r w:rsidRPr="000F2FFE">
        <w:rPr>
          <w:rFonts w:eastAsia="Times New Roman" w:cstheme="minorHAnsi"/>
          <w:color w:val="000000" w:themeColor="text1"/>
        </w:rPr>
        <w:t xml:space="preserve"> credentials</w:t>
      </w:r>
      <w:r w:rsidRPr="000F2FFE">
        <w:rPr>
          <w:rFonts w:eastAsia="Times New Roman" w:cstheme="minorHAnsi"/>
          <w:color w:val="000000" w:themeColor="text1"/>
        </w:rPr>
        <w:t xml:space="preserve"> </w:t>
      </w:r>
      <w:proofErr w:type="gramStart"/>
      <w:r w:rsidRPr="000F2FFE">
        <w:rPr>
          <w:rFonts w:eastAsia="Times New Roman" w:cstheme="minorHAnsi"/>
          <w:color w:val="000000" w:themeColor="text1"/>
        </w:rPr>
        <w:t>similar to</w:t>
      </w:r>
      <w:proofErr w:type="gramEnd"/>
      <w:r w:rsidRPr="000F2FFE">
        <w:rPr>
          <w:rFonts w:eastAsia="Times New Roman" w:cstheme="minorHAnsi"/>
          <w:color w:val="000000" w:themeColor="text1"/>
        </w:rPr>
        <w:t xml:space="preserve"> Mississippi</w:t>
      </w:r>
      <w:r w:rsidRPr="000F2FFE">
        <w:rPr>
          <w:rFonts w:eastAsia="Times New Roman" w:cstheme="minorHAnsi"/>
          <w:color w:val="000000" w:themeColor="text1"/>
        </w:rPr>
        <w:t>.</w:t>
      </w:r>
      <w:r w:rsidRPr="000F2FFE">
        <w:rPr>
          <w:rFonts w:eastAsia="Times New Roman" w:cstheme="minorHAnsi"/>
          <w:color w:val="000000" w:themeColor="text1"/>
        </w:rPr>
        <w:t xml:space="preserve">  However, apart from these readiness indicators,</w:t>
      </w:r>
      <w:r w:rsidRPr="000F2FFE">
        <w:rPr>
          <w:rFonts w:eastAsia="Times New Roman" w:cstheme="minorHAnsi"/>
          <w:color w:val="000000" w:themeColor="text1"/>
        </w:rPr>
        <w:t xml:space="preserve"> few states have explored </w:t>
      </w:r>
      <w:r w:rsidRPr="000F2FFE">
        <w:rPr>
          <w:rFonts w:eastAsia="Times New Roman" w:cstheme="minorHAnsi"/>
          <w:color w:val="000000" w:themeColor="text1"/>
        </w:rPr>
        <w:t>School Quality Student Success (</w:t>
      </w:r>
      <w:r w:rsidRPr="000F2FFE">
        <w:rPr>
          <w:rFonts w:eastAsia="Times New Roman" w:cstheme="minorHAnsi"/>
          <w:color w:val="000000" w:themeColor="text1"/>
        </w:rPr>
        <w:t>SQSS</w:t>
      </w:r>
      <w:r w:rsidRPr="000F2FFE">
        <w:rPr>
          <w:rFonts w:eastAsia="Times New Roman" w:cstheme="minorHAnsi"/>
          <w:color w:val="000000" w:themeColor="text1"/>
        </w:rPr>
        <w:t>)</w:t>
      </w:r>
      <w:r w:rsidRPr="000F2FFE">
        <w:rPr>
          <w:rFonts w:eastAsia="Times New Roman" w:cstheme="minorHAnsi"/>
          <w:color w:val="000000" w:themeColor="text1"/>
        </w:rPr>
        <w:t xml:space="preserve"> options other than 1) additional academic indicators and 2) attendance/ absenteeism.</w:t>
      </w:r>
      <w:r w:rsidRPr="000F2FFE">
        <w:rPr>
          <w:rFonts w:cstheme="minorHAnsi"/>
          <w:color w:val="000000" w:themeColor="text1"/>
        </w:rPr>
        <w:t xml:space="preserve">  </w:t>
      </w:r>
      <w:r w:rsidRPr="000F2FFE">
        <w:rPr>
          <w:rFonts w:eastAsia="Times New Roman" w:cstheme="minorHAnsi"/>
          <w:color w:val="000000" w:themeColor="text1"/>
        </w:rPr>
        <w:t xml:space="preserve">Infrequently, </w:t>
      </w:r>
      <w:r w:rsidRPr="000F2FFE">
        <w:rPr>
          <w:rFonts w:eastAsia="Times New Roman" w:cstheme="minorHAnsi"/>
          <w:color w:val="000000" w:themeColor="text1"/>
        </w:rPr>
        <w:t xml:space="preserve">states incorporate </w:t>
      </w:r>
      <w:r w:rsidRPr="000F2FFE">
        <w:rPr>
          <w:rFonts w:eastAsia="Times New Roman" w:cstheme="minorHAnsi"/>
          <w:color w:val="000000" w:themeColor="text1"/>
        </w:rPr>
        <w:t>school climate or discipline</w:t>
      </w:r>
      <w:r w:rsidRPr="000F2FFE">
        <w:rPr>
          <w:rFonts w:eastAsia="Times New Roman" w:cstheme="minorHAnsi"/>
          <w:color w:val="000000" w:themeColor="text1"/>
        </w:rPr>
        <w:t xml:space="preserve"> in their model.  Dr. Domaleski found no </w:t>
      </w:r>
      <w:r w:rsidRPr="000F2FFE">
        <w:rPr>
          <w:rFonts w:eastAsia="Times New Roman" w:cstheme="minorHAnsi"/>
          <w:color w:val="000000" w:themeColor="text1"/>
        </w:rPr>
        <w:t xml:space="preserve">states that have incorporated formal, direct measures of trans-academic skills. Some indirect measures may be found in indicators such as service, co/extra-curricular activities. </w:t>
      </w:r>
    </w:p>
    <w:p w14:paraId="53CCA4E5" w14:textId="6CDECB77" w:rsidR="000F2FFE" w:rsidRPr="000F2FFE" w:rsidRDefault="000F2FFE" w:rsidP="00AF054B">
      <w:pPr>
        <w:rPr>
          <w:rFonts w:cstheme="minorHAnsi"/>
          <w:color w:val="000000" w:themeColor="text1"/>
        </w:rPr>
      </w:pPr>
    </w:p>
    <w:p w14:paraId="23DCC400" w14:textId="77777777" w:rsidR="007101A4" w:rsidRDefault="000F2FFE" w:rsidP="00AF054B">
      <w:pPr>
        <w:rPr>
          <w:rFonts w:cstheme="minorHAnsi"/>
          <w:color w:val="000000" w:themeColor="text1"/>
        </w:rPr>
      </w:pPr>
      <w:r>
        <w:rPr>
          <w:rFonts w:cstheme="minorHAnsi"/>
          <w:color w:val="000000" w:themeColor="text1"/>
        </w:rPr>
        <w:t xml:space="preserve">To further explore the topic, committee members were asked to break into groups and review a series of worksheets that </w:t>
      </w:r>
      <w:r w:rsidR="007101A4">
        <w:rPr>
          <w:rFonts w:cstheme="minorHAnsi"/>
          <w:color w:val="000000" w:themeColor="text1"/>
        </w:rPr>
        <w:t>listed a very broad range of candidate indicators related to 1) socioemotional measures 2) school climate and 3) post-secondary readiness.  Committee members were asked to indicate:</w:t>
      </w:r>
    </w:p>
    <w:p w14:paraId="370C6ECE" w14:textId="77777777" w:rsidR="007101A4" w:rsidRDefault="007101A4" w:rsidP="00AF054B">
      <w:pPr>
        <w:rPr>
          <w:rFonts w:cstheme="minorHAnsi"/>
          <w:color w:val="000000" w:themeColor="text1"/>
        </w:rPr>
      </w:pPr>
    </w:p>
    <w:p w14:paraId="3897C15C" w14:textId="77777777" w:rsidR="007101A4" w:rsidRDefault="007101A4" w:rsidP="00613BDA">
      <w:pPr>
        <w:pStyle w:val="ListParagraph"/>
        <w:numPr>
          <w:ilvl w:val="0"/>
          <w:numId w:val="1"/>
        </w:numPr>
        <w:rPr>
          <w:rFonts w:cstheme="minorHAnsi"/>
          <w:color w:val="000000" w:themeColor="text1"/>
        </w:rPr>
      </w:pPr>
      <w:r>
        <w:rPr>
          <w:rFonts w:cstheme="minorHAnsi"/>
          <w:color w:val="000000" w:themeColor="text1"/>
        </w:rPr>
        <w:t xml:space="preserve">To what extent is this indicator a priority? </w:t>
      </w:r>
    </w:p>
    <w:p w14:paraId="5C19F1EB" w14:textId="77777777" w:rsidR="007101A4" w:rsidRDefault="007101A4" w:rsidP="00613BDA">
      <w:pPr>
        <w:pStyle w:val="ListParagraph"/>
        <w:numPr>
          <w:ilvl w:val="0"/>
          <w:numId w:val="1"/>
        </w:numPr>
        <w:rPr>
          <w:rFonts w:cstheme="minorHAnsi"/>
          <w:color w:val="000000" w:themeColor="text1"/>
        </w:rPr>
      </w:pPr>
      <w:r>
        <w:rPr>
          <w:rFonts w:cstheme="minorHAnsi"/>
          <w:color w:val="000000" w:themeColor="text1"/>
        </w:rPr>
        <w:t xml:space="preserve">What sources of data should be prioritized? </w:t>
      </w:r>
    </w:p>
    <w:p w14:paraId="1250350A" w14:textId="77777777" w:rsidR="007101A4" w:rsidRDefault="007101A4" w:rsidP="00613BDA">
      <w:pPr>
        <w:pStyle w:val="ListParagraph"/>
        <w:numPr>
          <w:ilvl w:val="0"/>
          <w:numId w:val="1"/>
        </w:numPr>
        <w:rPr>
          <w:rFonts w:cstheme="minorHAnsi"/>
          <w:color w:val="000000" w:themeColor="text1"/>
        </w:rPr>
      </w:pPr>
      <w:r>
        <w:rPr>
          <w:rFonts w:cstheme="minorHAnsi"/>
          <w:color w:val="000000" w:themeColor="text1"/>
        </w:rPr>
        <w:t xml:space="preserve">What recommendations do you have for using the data (e.g., ESSA system or collect/report only)? </w:t>
      </w:r>
    </w:p>
    <w:p w14:paraId="330AF4F7" w14:textId="77777777" w:rsidR="007101A4" w:rsidRDefault="007101A4" w:rsidP="007101A4">
      <w:pPr>
        <w:rPr>
          <w:rFonts w:cstheme="minorHAnsi"/>
          <w:color w:val="000000" w:themeColor="text1"/>
        </w:rPr>
      </w:pPr>
    </w:p>
    <w:p w14:paraId="3A30921C" w14:textId="064A6DC7" w:rsidR="000F2FFE" w:rsidRDefault="007101A4" w:rsidP="007101A4">
      <w:pPr>
        <w:rPr>
          <w:rFonts w:cstheme="minorHAnsi"/>
          <w:color w:val="000000" w:themeColor="text1"/>
        </w:rPr>
      </w:pPr>
      <w:r>
        <w:rPr>
          <w:rFonts w:cstheme="minorHAnsi"/>
          <w:color w:val="000000" w:themeColor="text1"/>
        </w:rPr>
        <w:lastRenderedPageBreak/>
        <w:t xml:space="preserve">After reviewing the worksheets and discussing with colleagues in small groups, summary feedback was shared with the full group. </w:t>
      </w:r>
      <w:r w:rsidRPr="007101A4">
        <w:rPr>
          <w:rFonts w:cstheme="minorHAnsi"/>
          <w:color w:val="000000" w:themeColor="text1"/>
        </w:rPr>
        <w:t xml:space="preserve"> </w:t>
      </w:r>
      <w:r>
        <w:rPr>
          <w:rFonts w:cstheme="minorHAnsi"/>
          <w:color w:val="000000" w:themeColor="text1"/>
        </w:rPr>
        <w:t xml:space="preserve">Some prominent points from this discussion included: </w:t>
      </w:r>
    </w:p>
    <w:p w14:paraId="706218C6" w14:textId="7E5D4795" w:rsidR="007101A4" w:rsidRDefault="007101A4" w:rsidP="007101A4">
      <w:pPr>
        <w:rPr>
          <w:rFonts w:cstheme="minorHAnsi"/>
          <w:color w:val="000000" w:themeColor="text1"/>
        </w:rPr>
      </w:pPr>
    </w:p>
    <w:p w14:paraId="5B900F72" w14:textId="45B922E7" w:rsidR="007101A4" w:rsidRDefault="007101A4" w:rsidP="00613BDA">
      <w:pPr>
        <w:pStyle w:val="ListParagraph"/>
        <w:numPr>
          <w:ilvl w:val="0"/>
          <w:numId w:val="1"/>
        </w:numPr>
        <w:rPr>
          <w:rFonts w:cstheme="minorHAnsi"/>
          <w:color w:val="000000" w:themeColor="text1"/>
        </w:rPr>
      </w:pPr>
      <w:r>
        <w:rPr>
          <w:rFonts w:cstheme="minorHAnsi"/>
          <w:color w:val="000000" w:themeColor="text1"/>
        </w:rPr>
        <w:t xml:space="preserve">Many committee members acknowledged that the candidate indicators presented were very </w:t>
      </w:r>
      <w:r w:rsidR="0077038C">
        <w:rPr>
          <w:rFonts w:cstheme="minorHAnsi"/>
          <w:color w:val="000000" w:themeColor="text1"/>
        </w:rPr>
        <w:t>important,</w:t>
      </w:r>
      <w:r>
        <w:rPr>
          <w:rFonts w:cstheme="minorHAnsi"/>
          <w:color w:val="000000" w:themeColor="text1"/>
        </w:rPr>
        <w:t xml:space="preserve"> but it would be challenging to incorporate them </w:t>
      </w:r>
      <w:r w:rsidR="0077038C">
        <w:rPr>
          <w:rFonts w:cstheme="minorHAnsi"/>
          <w:color w:val="000000" w:themeColor="text1"/>
        </w:rPr>
        <w:t xml:space="preserve">into </w:t>
      </w:r>
      <w:r>
        <w:rPr>
          <w:rFonts w:cstheme="minorHAnsi"/>
          <w:color w:val="000000" w:themeColor="text1"/>
        </w:rPr>
        <w:t xml:space="preserve">the state’s accountability model in a manner that is </w:t>
      </w:r>
      <w:r w:rsidR="00012FEE">
        <w:rPr>
          <w:rFonts w:cstheme="minorHAnsi"/>
          <w:color w:val="000000" w:themeColor="text1"/>
        </w:rPr>
        <w:t xml:space="preserve">valid, reliable, and fair.  For this </w:t>
      </w:r>
      <w:r w:rsidR="0077038C">
        <w:rPr>
          <w:rFonts w:cstheme="minorHAnsi"/>
          <w:color w:val="000000" w:themeColor="text1"/>
        </w:rPr>
        <w:t>reason,</w:t>
      </w:r>
      <w:r w:rsidR="00012FEE">
        <w:rPr>
          <w:rFonts w:cstheme="minorHAnsi"/>
          <w:color w:val="000000" w:themeColor="text1"/>
        </w:rPr>
        <w:t xml:space="preserve"> more emphasis should be placed on supporting district and school capacity. </w:t>
      </w:r>
    </w:p>
    <w:p w14:paraId="2C0B0842" w14:textId="75202ABB" w:rsidR="00012FEE" w:rsidRDefault="00012FEE" w:rsidP="00613BDA">
      <w:pPr>
        <w:pStyle w:val="ListParagraph"/>
        <w:numPr>
          <w:ilvl w:val="0"/>
          <w:numId w:val="1"/>
        </w:numPr>
        <w:rPr>
          <w:rFonts w:cstheme="minorHAnsi"/>
          <w:color w:val="000000" w:themeColor="text1"/>
        </w:rPr>
      </w:pPr>
      <w:r>
        <w:rPr>
          <w:rFonts w:cstheme="minorHAnsi"/>
          <w:color w:val="000000" w:themeColor="text1"/>
        </w:rPr>
        <w:t xml:space="preserve">Some committee members suggested exploring rewarding attainment of different diploma options.  </w:t>
      </w:r>
    </w:p>
    <w:p w14:paraId="6E14376D" w14:textId="1D4DFF2A" w:rsidR="00012FEE" w:rsidRDefault="00012FEE" w:rsidP="00613BDA">
      <w:pPr>
        <w:pStyle w:val="ListParagraph"/>
        <w:numPr>
          <w:ilvl w:val="0"/>
          <w:numId w:val="1"/>
        </w:numPr>
        <w:rPr>
          <w:rFonts w:cstheme="minorHAnsi"/>
          <w:color w:val="000000" w:themeColor="text1"/>
        </w:rPr>
      </w:pPr>
      <w:r>
        <w:rPr>
          <w:rFonts w:cstheme="minorHAnsi"/>
          <w:color w:val="000000" w:themeColor="text1"/>
        </w:rPr>
        <w:t xml:space="preserve">Several committee members emphasized the importance of digital literacy especially as it relates to promoting responsible use of social media.   </w:t>
      </w:r>
    </w:p>
    <w:p w14:paraId="5442A089" w14:textId="7AA02ACF" w:rsidR="00012FEE" w:rsidRDefault="00012FEE" w:rsidP="00613BDA">
      <w:pPr>
        <w:pStyle w:val="ListParagraph"/>
        <w:numPr>
          <w:ilvl w:val="0"/>
          <w:numId w:val="1"/>
        </w:numPr>
        <w:rPr>
          <w:rFonts w:cstheme="minorHAnsi"/>
          <w:color w:val="000000" w:themeColor="text1"/>
        </w:rPr>
      </w:pPr>
      <w:r>
        <w:rPr>
          <w:rFonts w:cstheme="minorHAnsi"/>
          <w:color w:val="000000" w:themeColor="text1"/>
        </w:rPr>
        <w:t xml:space="preserve">The state may be able to support districts by helping define, collect, and report key sources of data on whole student development.  The state may also be able to play a role as a partner in curating research and identifying best practices to promote student development. </w:t>
      </w:r>
    </w:p>
    <w:p w14:paraId="6D9749DF" w14:textId="5BFF6067" w:rsidR="007173F1" w:rsidRDefault="007173F1" w:rsidP="00613BDA">
      <w:pPr>
        <w:pStyle w:val="ListParagraph"/>
        <w:numPr>
          <w:ilvl w:val="0"/>
          <w:numId w:val="1"/>
        </w:numPr>
        <w:rPr>
          <w:rFonts w:cstheme="minorHAnsi"/>
          <w:color w:val="000000" w:themeColor="text1"/>
        </w:rPr>
      </w:pPr>
      <w:r>
        <w:rPr>
          <w:rFonts w:cstheme="minorHAnsi"/>
          <w:color w:val="000000" w:themeColor="text1"/>
        </w:rPr>
        <w:t xml:space="preserve">Consider the unique role of the district in accountability.  Could the district be held accountable using measures that are not just a ‘roll-up’ of school performance? </w:t>
      </w:r>
    </w:p>
    <w:p w14:paraId="00BF9587" w14:textId="095AC040" w:rsidR="00012FEE" w:rsidRDefault="00012FEE" w:rsidP="00613BDA">
      <w:pPr>
        <w:pStyle w:val="ListParagraph"/>
        <w:numPr>
          <w:ilvl w:val="0"/>
          <w:numId w:val="1"/>
        </w:numPr>
        <w:rPr>
          <w:rFonts w:cstheme="minorHAnsi"/>
          <w:color w:val="000000" w:themeColor="text1"/>
        </w:rPr>
      </w:pPr>
      <w:r>
        <w:rPr>
          <w:rFonts w:cstheme="minorHAnsi"/>
          <w:color w:val="000000" w:themeColor="text1"/>
        </w:rPr>
        <w:t>The MDE may also consider some updated reporting practices such as:</w:t>
      </w:r>
    </w:p>
    <w:p w14:paraId="798E1A4F" w14:textId="215C2420" w:rsidR="00012FEE" w:rsidRDefault="007173F1" w:rsidP="00613BDA">
      <w:pPr>
        <w:pStyle w:val="ListParagraph"/>
        <w:numPr>
          <w:ilvl w:val="1"/>
          <w:numId w:val="1"/>
        </w:numPr>
        <w:rPr>
          <w:rFonts w:cstheme="minorHAnsi"/>
          <w:color w:val="000000" w:themeColor="text1"/>
        </w:rPr>
      </w:pPr>
      <w:r>
        <w:rPr>
          <w:rFonts w:cstheme="minorHAnsi"/>
          <w:color w:val="000000" w:themeColor="text1"/>
        </w:rPr>
        <w:t xml:space="preserve">Discontinue reporting the ‘bottom 10’ </w:t>
      </w:r>
    </w:p>
    <w:p w14:paraId="66E29186" w14:textId="4F4883A2" w:rsidR="007173F1" w:rsidRDefault="007173F1" w:rsidP="00613BDA">
      <w:pPr>
        <w:pStyle w:val="ListParagraph"/>
        <w:numPr>
          <w:ilvl w:val="1"/>
          <w:numId w:val="1"/>
        </w:numPr>
        <w:rPr>
          <w:rFonts w:cstheme="minorHAnsi"/>
          <w:color w:val="000000" w:themeColor="text1"/>
        </w:rPr>
      </w:pPr>
      <w:r>
        <w:rPr>
          <w:rFonts w:cstheme="minorHAnsi"/>
          <w:color w:val="000000" w:themeColor="text1"/>
        </w:rPr>
        <w:t>Reward districts/schools that are showing particularly commendable progress</w:t>
      </w:r>
    </w:p>
    <w:p w14:paraId="2BEEC22F" w14:textId="67915D64" w:rsidR="007173F1" w:rsidRPr="007101A4" w:rsidRDefault="007173F1" w:rsidP="00613BDA">
      <w:pPr>
        <w:pStyle w:val="ListParagraph"/>
        <w:numPr>
          <w:ilvl w:val="1"/>
          <w:numId w:val="1"/>
        </w:numPr>
        <w:rPr>
          <w:rFonts w:cstheme="minorHAnsi"/>
          <w:color w:val="000000" w:themeColor="text1"/>
        </w:rPr>
      </w:pPr>
      <w:r>
        <w:rPr>
          <w:rFonts w:cstheme="minorHAnsi"/>
          <w:color w:val="000000" w:themeColor="text1"/>
        </w:rPr>
        <w:t xml:space="preserve">Report the accountability score only and not the grade </w:t>
      </w:r>
    </w:p>
    <w:p w14:paraId="13209E63" w14:textId="13696470" w:rsidR="000F2FFE" w:rsidRDefault="000F2FFE" w:rsidP="00AF054B">
      <w:pPr>
        <w:rPr>
          <w:rFonts w:cstheme="minorHAnsi"/>
          <w:color w:val="000000" w:themeColor="text1"/>
        </w:rPr>
      </w:pPr>
    </w:p>
    <w:p w14:paraId="6C58ED3A" w14:textId="43EF6028" w:rsidR="007101A4" w:rsidRPr="007173F1" w:rsidRDefault="007173F1" w:rsidP="00AF054B">
      <w:pPr>
        <w:rPr>
          <w:rFonts w:ascii="Calibri" w:eastAsia="Times New Roman" w:hAnsi="Calibri" w:cs="Calibri"/>
        </w:rPr>
      </w:pPr>
      <w:r w:rsidRPr="007173F1">
        <w:rPr>
          <w:rFonts w:ascii="Calibri" w:eastAsia="Times New Roman" w:hAnsi="Calibri" w:cs="Calibri"/>
        </w:rPr>
        <w:t xml:space="preserve">The accountability task force did not vote on any of these options.  Rather, this was a brainstorming session and members were encouraged to share a wide range of ideas to help sharpen MDE’s focus for future efforts.  </w:t>
      </w:r>
      <w:r w:rsidR="007101A4" w:rsidRPr="007101A4">
        <w:rPr>
          <w:rFonts w:ascii="Calibri" w:eastAsia="Times New Roman" w:hAnsi="Calibri" w:cs="Calibri"/>
        </w:rPr>
        <w:t> </w:t>
      </w:r>
      <w:r>
        <w:rPr>
          <w:rFonts w:ascii="Calibri" w:eastAsia="Times New Roman" w:hAnsi="Calibri" w:cs="Calibri"/>
        </w:rPr>
        <w:t xml:space="preserve">More discussion and follow-up will occur at future meetings.  </w:t>
      </w:r>
    </w:p>
    <w:p w14:paraId="137331FD" w14:textId="605A83EF" w:rsidR="007173F1" w:rsidRDefault="007173F1" w:rsidP="00AF054B">
      <w:pPr>
        <w:rPr>
          <w:rFonts w:ascii="Calibri" w:eastAsia="Times New Roman" w:hAnsi="Calibri" w:cs="Calibri"/>
          <w:sz w:val="22"/>
          <w:szCs w:val="22"/>
        </w:rPr>
      </w:pPr>
    </w:p>
    <w:p w14:paraId="120425AC" w14:textId="012FE8BD" w:rsidR="001767F8" w:rsidRPr="009D622C" w:rsidRDefault="001767F8" w:rsidP="001767F8">
      <w:pPr>
        <w:rPr>
          <w:rFonts w:cstheme="minorHAnsi"/>
          <w:b/>
          <w:bCs/>
          <w:color w:val="000000" w:themeColor="text1"/>
        </w:rPr>
      </w:pPr>
      <w:r>
        <w:rPr>
          <w:rFonts w:cstheme="minorHAnsi"/>
          <w:b/>
          <w:bCs/>
          <w:color w:val="000000" w:themeColor="text1"/>
        </w:rPr>
        <w:t>Examining Growth</w:t>
      </w:r>
    </w:p>
    <w:p w14:paraId="4425F334" w14:textId="77777777" w:rsidR="001767F8" w:rsidRPr="009D622C" w:rsidRDefault="001767F8" w:rsidP="001767F8">
      <w:pPr>
        <w:rPr>
          <w:rFonts w:cstheme="minorHAnsi"/>
          <w:b/>
          <w:bCs/>
          <w:color w:val="000000" w:themeColor="text1"/>
        </w:rPr>
      </w:pPr>
    </w:p>
    <w:p w14:paraId="64104CFF" w14:textId="77777777" w:rsidR="001767F8" w:rsidRDefault="001767F8" w:rsidP="001767F8">
      <w:pPr>
        <w:rPr>
          <w:rFonts w:eastAsia="Times New Roman" w:cstheme="minorHAnsi"/>
          <w:color w:val="000000" w:themeColor="text1"/>
        </w:rPr>
      </w:pPr>
      <w:r>
        <w:rPr>
          <w:rFonts w:ascii="Calibri" w:eastAsia="Times New Roman" w:hAnsi="Calibri" w:cs="Calibri"/>
          <w:sz w:val="22"/>
          <w:szCs w:val="22"/>
        </w:rPr>
        <w:t xml:space="preserve">Next, Dr. Domaleski explained that the MDE has </w:t>
      </w:r>
      <w:r w:rsidRPr="001767F8">
        <w:rPr>
          <w:rFonts w:eastAsia="Times New Roman" w:cstheme="minorHAnsi"/>
          <w:color w:val="000000" w:themeColor="text1"/>
        </w:rPr>
        <w:t>received questions</w:t>
      </w:r>
      <w:r>
        <w:rPr>
          <w:rFonts w:eastAsia="Times New Roman" w:cstheme="minorHAnsi"/>
          <w:color w:val="000000" w:themeColor="text1"/>
        </w:rPr>
        <w:t xml:space="preserve"> and </w:t>
      </w:r>
      <w:r w:rsidRPr="001767F8">
        <w:rPr>
          <w:rFonts w:eastAsia="Times New Roman" w:cstheme="minorHAnsi"/>
          <w:color w:val="000000" w:themeColor="text1"/>
        </w:rPr>
        <w:t xml:space="preserve">suggestions about growth in accountability </w:t>
      </w:r>
      <w:r>
        <w:rPr>
          <w:rFonts w:eastAsia="Times New Roman" w:cstheme="minorHAnsi"/>
          <w:color w:val="000000" w:themeColor="text1"/>
        </w:rPr>
        <w:t xml:space="preserve">such as: </w:t>
      </w:r>
    </w:p>
    <w:p w14:paraId="616EADE6" w14:textId="77777777" w:rsidR="001767F8" w:rsidRDefault="001767F8" w:rsidP="001767F8">
      <w:pPr>
        <w:rPr>
          <w:rFonts w:eastAsia="Times New Roman" w:cstheme="minorHAnsi"/>
          <w:color w:val="000000" w:themeColor="text1"/>
        </w:rPr>
      </w:pPr>
    </w:p>
    <w:p w14:paraId="275BD7B0" w14:textId="77777777" w:rsidR="001767F8" w:rsidRPr="001767F8" w:rsidRDefault="001767F8" w:rsidP="00613BDA">
      <w:pPr>
        <w:pStyle w:val="ListParagraph"/>
        <w:numPr>
          <w:ilvl w:val="0"/>
          <w:numId w:val="2"/>
        </w:numPr>
        <w:rPr>
          <w:rFonts w:ascii="Calibri" w:eastAsia="Times New Roman" w:hAnsi="Calibri" w:cs="Calibri"/>
          <w:sz w:val="22"/>
          <w:szCs w:val="22"/>
        </w:rPr>
      </w:pPr>
      <w:r>
        <w:rPr>
          <w:rFonts w:eastAsia="Times New Roman" w:cstheme="minorHAnsi"/>
          <w:color w:val="000000" w:themeColor="text1"/>
        </w:rPr>
        <w:t xml:space="preserve">Should equal credit be assigned to levels 4 and 5? </w:t>
      </w:r>
    </w:p>
    <w:p w14:paraId="5ACBBE2B" w14:textId="77777777" w:rsidR="001767F8" w:rsidRPr="001767F8" w:rsidRDefault="001767F8" w:rsidP="00613BDA">
      <w:pPr>
        <w:pStyle w:val="ListParagraph"/>
        <w:numPr>
          <w:ilvl w:val="0"/>
          <w:numId w:val="2"/>
        </w:numPr>
        <w:rPr>
          <w:rFonts w:ascii="Calibri" w:eastAsia="Times New Roman" w:hAnsi="Calibri" w:cs="Calibri"/>
          <w:sz w:val="22"/>
          <w:szCs w:val="22"/>
        </w:rPr>
      </w:pPr>
      <w:r>
        <w:rPr>
          <w:rFonts w:eastAsia="Times New Roman" w:cstheme="minorHAnsi"/>
          <w:color w:val="000000" w:themeColor="text1"/>
        </w:rPr>
        <w:t xml:space="preserve">Should growth be more sensitive to progress at or above level 3, such as by creating a level ‘3C’ or by giving partial credit for maintaining a level 3? </w:t>
      </w:r>
    </w:p>
    <w:p w14:paraId="6E1C4AC6" w14:textId="7A3A1F22" w:rsidR="001767F8" w:rsidRPr="005E2325" w:rsidRDefault="003D470B" w:rsidP="00613BDA">
      <w:pPr>
        <w:pStyle w:val="ListParagraph"/>
        <w:numPr>
          <w:ilvl w:val="0"/>
          <w:numId w:val="2"/>
        </w:numPr>
        <w:rPr>
          <w:rFonts w:ascii="Calibri" w:eastAsia="Times New Roman" w:hAnsi="Calibri" w:cs="Calibri"/>
          <w:sz w:val="22"/>
          <w:szCs w:val="22"/>
        </w:rPr>
      </w:pPr>
      <w:r>
        <w:rPr>
          <w:rFonts w:eastAsia="Times New Roman" w:cstheme="minorHAnsi"/>
          <w:color w:val="000000" w:themeColor="text1"/>
        </w:rPr>
        <w:t>Should more weight be given to students showing progress from levels 1-3?</w:t>
      </w:r>
      <w:r w:rsidR="001767F8" w:rsidRPr="001767F8">
        <w:rPr>
          <w:rFonts w:eastAsia="Times New Roman" w:cstheme="minorHAnsi"/>
          <w:color w:val="000000" w:themeColor="text1"/>
        </w:rPr>
        <w:t> </w:t>
      </w:r>
    </w:p>
    <w:p w14:paraId="22C95B42" w14:textId="40B99B7A" w:rsidR="005E2325" w:rsidRDefault="005E2325" w:rsidP="005E2325">
      <w:pPr>
        <w:rPr>
          <w:rFonts w:ascii="Calibri" w:eastAsia="Times New Roman" w:hAnsi="Calibri" w:cs="Calibri"/>
          <w:sz w:val="22"/>
          <w:szCs w:val="22"/>
        </w:rPr>
      </w:pPr>
    </w:p>
    <w:p w14:paraId="2B8E6E63" w14:textId="1222D2C1" w:rsidR="005E2325" w:rsidRPr="005E2325" w:rsidRDefault="005E2325" w:rsidP="005E2325">
      <w:pPr>
        <w:rPr>
          <w:rFonts w:ascii="Calibri" w:eastAsia="Times New Roman" w:hAnsi="Calibri" w:cs="Calibri"/>
        </w:rPr>
      </w:pPr>
      <w:r w:rsidRPr="005E2325">
        <w:rPr>
          <w:rFonts w:ascii="Calibri" w:eastAsia="Times New Roman" w:hAnsi="Calibri" w:cs="Calibri"/>
        </w:rPr>
        <w:t xml:space="preserve">Then, the current method for computing growth was reviewed </w:t>
      </w:r>
      <w:r w:rsidR="004E37E6">
        <w:rPr>
          <w:rFonts w:ascii="Calibri" w:eastAsia="Times New Roman" w:hAnsi="Calibri" w:cs="Calibri"/>
        </w:rPr>
        <w:t>and</w:t>
      </w:r>
      <w:r w:rsidRPr="005E2325">
        <w:rPr>
          <w:rFonts w:ascii="Calibri" w:eastAsia="Times New Roman" w:hAnsi="Calibri" w:cs="Calibri"/>
        </w:rPr>
        <w:t xml:space="preserve"> committee members were asked to complete an online survey to register their feedback about potential growth improvements and the adequacy of the growth weights.  Prominent feedback</w:t>
      </w:r>
      <w:r w:rsidR="004E37E6">
        <w:rPr>
          <w:rFonts w:ascii="Calibri" w:eastAsia="Times New Roman" w:hAnsi="Calibri" w:cs="Calibri"/>
        </w:rPr>
        <w:t xml:space="preserve"> from the survey and subsequent discussion</w:t>
      </w:r>
      <w:r w:rsidRPr="005E2325">
        <w:rPr>
          <w:rFonts w:ascii="Calibri" w:eastAsia="Times New Roman" w:hAnsi="Calibri" w:cs="Calibri"/>
        </w:rPr>
        <w:t xml:space="preserve"> included: </w:t>
      </w:r>
    </w:p>
    <w:p w14:paraId="6B0E817A" w14:textId="268A0BC0" w:rsidR="005E2325" w:rsidRDefault="005E2325" w:rsidP="005E2325">
      <w:pPr>
        <w:rPr>
          <w:rFonts w:ascii="Calibri" w:eastAsia="Times New Roman" w:hAnsi="Calibri" w:cs="Calibri"/>
          <w:sz w:val="22"/>
          <w:szCs w:val="22"/>
        </w:rPr>
      </w:pPr>
    </w:p>
    <w:p w14:paraId="2B448799" w14:textId="28393A1A" w:rsidR="003D470B" w:rsidRPr="005E2325" w:rsidRDefault="003D470B" w:rsidP="00613BDA">
      <w:pPr>
        <w:pStyle w:val="ListParagraph"/>
        <w:numPr>
          <w:ilvl w:val="0"/>
          <w:numId w:val="2"/>
        </w:numPr>
        <w:rPr>
          <w:rFonts w:eastAsia="Times New Roman" w:cstheme="minorHAnsi"/>
        </w:rPr>
      </w:pPr>
      <w:r w:rsidRPr="005E2325">
        <w:rPr>
          <w:rFonts w:eastAsia="Times New Roman" w:cstheme="minorHAnsi"/>
        </w:rPr>
        <w:t xml:space="preserve">Some committee members expressed concern that it is challenging for students to progress from 3A to 3B or from 3B to 4 and higher.  </w:t>
      </w:r>
    </w:p>
    <w:p w14:paraId="0C59765D" w14:textId="4459C323" w:rsidR="003D470B" w:rsidRDefault="003D470B" w:rsidP="00613BDA">
      <w:pPr>
        <w:pStyle w:val="ListParagraph"/>
        <w:numPr>
          <w:ilvl w:val="0"/>
          <w:numId w:val="2"/>
        </w:numPr>
        <w:rPr>
          <w:rFonts w:eastAsia="Times New Roman" w:cstheme="minorHAnsi"/>
        </w:rPr>
      </w:pPr>
      <w:r>
        <w:rPr>
          <w:rFonts w:eastAsia="Times New Roman" w:cstheme="minorHAnsi"/>
        </w:rPr>
        <w:lastRenderedPageBreak/>
        <w:t>The state should consider awarding some points</w:t>
      </w:r>
      <w:r w:rsidR="005E2325">
        <w:rPr>
          <w:rFonts w:eastAsia="Times New Roman" w:cstheme="minorHAnsi"/>
        </w:rPr>
        <w:t xml:space="preserve"> for maintaining level 3</w:t>
      </w:r>
      <w:r w:rsidR="00FD58A0">
        <w:rPr>
          <w:rFonts w:eastAsia="Times New Roman" w:cstheme="minorHAnsi"/>
        </w:rPr>
        <w:t xml:space="preserve"> since ‘passing should mean something.’</w:t>
      </w:r>
      <w:r w:rsidR="005E2325">
        <w:rPr>
          <w:rFonts w:eastAsia="Times New Roman" w:cstheme="minorHAnsi"/>
        </w:rPr>
        <w:t xml:space="preserve">  However, others disagreed pointing out </w:t>
      </w:r>
      <w:r w:rsidR="004E37E6">
        <w:rPr>
          <w:rFonts w:eastAsia="Times New Roman" w:cstheme="minorHAnsi"/>
        </w:rPr>
        <w:t xml:space="preserve">that level 3 performance remains </w:t>
      </w:r>
      <w:r w:rsidR="005E2325">
        <w:rPr>
          <w:rFonts w:eastAsia="Times New Roman" w:cstheme="minorHAnsi"/>
        </w:rPr>
        <w:t xml:space="preserve">below proficient. </w:t>
      </w:r>
      <w:r>
        <w:rPr>
          <w:rFonts w:eastAsia="Times New Roman" w:cstheme="minorHAnsi"/>
        </w:rPr>
        <w:t xml:space="preserve"> </w:t>
      </w:r>
    </w:p>
    <w:p w14:paraId="5704E552" w14:textId="429FF9AB" w:rsidR="005E2325" w:rsidRDefault="00FD58A0" w:rsidP="00613BDA">
      <w:pPr>
        <w:pStyle w:val="ListParagraph"/>
        <w:numPr>
          <w:ilvl w:val="0"/>
          <w:numId w:val="2"/>
        </w:numPr>
        <w:rPr>
          <w:rFonts w:eastAsia="Times New Roman" w:cstheme="minorHAnsi"/>
        </w:rPr>
      </w:pPr>
      <w:r>
        <w:rPr>
          <w:rFonts w:eastAsia="Times New Roman" w:cstheme="minorHAnsi"/>
        </w:rPr>
        <w:t xml:space="preserve">Some committee members called for either more granularity in levels 1-3 or more influence in the model (or both) to better detect and incent progress from lower performing students. </w:t>
      </w:r>
      <w:r w:rsidR="004E37E6">
        <w:rPr>
          <w:rFonts w:eastAsia="Times New Roman" w:cstheme="minorHAnsi"/>
        </w:rPr>
        <w:t xml:space="preserve"> </w:t>
      </w:r>
      <w:r>
        <w:rPr>
          <w:rFonts w:eastAsia="Times New Roman" w:cstheme="minorHAnsi"/>
        </w:rPr>
        <w:t xml:space="preserve"> </w:t>
      </w:r>
    </w:p>
    <w:p w14:paraId="102C29F2" w14:textId="361437B0" w:rsidR="00FD58A0" w:rsidRDefault="00FD58A0" w:rsidP="00613BDA">
      <w:pPr>
        <w:pStyle w:val="ListParagraph"/>
        <w:numPr>
          <w:ilvl w:val="0"/>
          <w:numId w:val="2"/>
        </w:numPr>
        <w:rPr>
          <w:rFonts w:eastAsia="Times New Roman" w:cstheme="minorHAnsi"/>
        </w:rPr>
      </w:pPr>
      <w:r>
        <w:rPr>
          <w:rFonts w:eastAsia="Times New Roman" w:cstheme="minorHAnsi"/>
        </w:rPr>
        <w:t xml:space="preserve">A few respondents disagreed with the </w:t>
      </w:r>
      <w:r w:rsidR="004E37E6">
        <w:rPr>
          <w:rFonts w:eastAsia="Times New Roman" w:cstheme="minorHAnsi"/>
        </w:rPr>
        <w:t xml:space="preserve">practice of giving additional weight to growth of the </w:t>
      </w:r>
      <w:r>
        <w:rPr>
          <w:rFonts w:eastAsia="Times New Roman" w:cstheme="minorHAnsi"/>
        </w:rPr>
        <w:t>lowest 25%</w:t>
      </w:r>
    </w:p>
    <w:p w14:paraId="5C200F37" w14:textId="6B56E259" w:rsidR="00FD58A0" w:rsidRDefault="00FD58A0" w:rsidP="00613BDA">
      <w:pPr>
        <w:pStyle w:val="ListParagraph"/>
        <w:numPr>
          <w:ilvl w:val="0"/>
          <w:numId w:val="2"/>
        </w:numPr>
        <w:rPr>
          <w:rFonts w:eastAsia="Times New Roman" w:cstheme="minorHAnsi"/>
        </w:rPr>
      </w:pPr>
      <w:r>
        <w:rPr>
          <w:rFonts w:eastAsia="Times New Roman" w:cstheme="minorHAnsi"/>
        </w:rPr>
        <w:t xml:space="preserve">Some committee members advised against making changes to the growth model. </w:t>
      </w:r>
    </w:p>
    <w:p w14:paraId="7F366272" w14:textId="52648843" w:rsidR="00FD58A0" w:rsidRPr="003D470B" w:rsidRDefault="00FD58A0" w:rsidP="00613BDA">
      <w:pPr>
        <w:pStyle w:val="ListParagraph"/>
        <w:numPr>
          <w:ilvl w:val="0"/>
          <w:numId w:val="2"/>
        </w:numPr>
        <w:rPr>
          <w:rFonts w:eastAsia="Times New Roman" w:cstheme="minorHAnsi"/>
        </w:rPr>
      </w:pPr>
      <w:r>
        <w:rPr>
          <w:rFonts w:eastAsia="Times New Roman" w:cstheme="minorHAnsi"/>
        </w:rPr>
        <w:t xml:space="preserve">Views were split on weights.  Most </w:t>
      </w:r>
      <w:r w:rsidR="004E37E6">
        <w:rPr>
          <w:rFonts w:eastAsia="Times New Roman" w:cstheme="minorHAnsi"/>
        </w:rPr>
        <w:t>respondents</w:t>
      </w:r>
      <w:r>
        <w:rPr>
          <w:rFonts w:eastAsia="Times New Roman" w:cstheme="minorHAnsi"/>
        </w:rPr>
        <w:t xml:space="preserve"> indicated that the weights are appropriate especially for overall growth.  </w:t>
      </w:r>
      <w:r w:rsidR="004E37E6">
        <w:rPr>
          <w:rFonts w:eastAsia="Times New Roman" w:cstheme="minorHAnsi"/>
        </w:rPr>
        <w:t xml:space="preserve"> A plurality of committee members responded that the weights were appropriate for low 25% growth but there was less agreement.  Those disagreeing with the weights for low 25% growth were </w:t>
      </w:r>
      <w:proofErr w:type="gramStart"/>
      <w:r w:rsidR="004E37E6">
        <w:rPr>
          <w:rFonts w:eastAsia="Times New Roman" w:cstheme="minorHAnsi"/>
        </w:rPr>
        <w:t>fairly evenly</w:t>
      </w:r>
      <w:proofErr w:type="gramEnd"/>
      <w:r w:rsidR="004E37E6">
        <w:rPr>
          <w:rFonts w:eastAsia="Times New Roman" w:cstheme="minorHAnsi"/>
        </w:rPr>
        <w:t xml:space="preserve"> divided between increasing or decreasing the weights.  The results are summarized in the figure below. </w:t>
      </w:r>
    </w:p>
    <w:p w14:paraId="11768A8F" w14:textId="0BAE5556" w:rsidR="003D470B" w:rsidRDefault="003D470B" w:rsidP="00AF054B">
      <w:pPr>
        <w:rPr>
          <w:rFonts w:eastAsia="Times New Roman" w:cstheme="minorHAnsi"/>
        </w:rPr>
      </w:pPr>
    </w:p>
    <w:p w14:paraId="3A0C7F5C" w14:textId="5AE89206" w:rsidR="003D470B" w:rsidRDefault="004E37E6" w:rsidP="00AF054B">
      <w:pPr>
        <w:rPr>
          <w:rFonts w:eastAsia="Times New Roman" w:cstheme="minorHAnsi"/>
        </w:rPr>
      </w:pPr>
      <w:r>
        <w:rPr>
          <w:rFonts w:eastAsia="Times New Roman" w:cstheme="minorHAnsi"/>
          <w:noProof/>
        </w:rPr>
        <w:drawing>
          <wp:inline distT="0" distB="0" distL="0" distR="0" wp14:anchorId="2736D988" wp14:editId="50E6EFAB">
            <wp:extent cx="5943600" cy="2060575"/>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060575"/>
                    </a:xfrm>
                    <a:prstGeom prst="rect">
                      <a:avLst/>
                    </a:prstGeom>
                  </pic:spPr>
                </pic:pic>
              </a:graphicData>
            </a:graphic>
          </wp:inline>
        </w:drawing>
      </w:r>
    </w:p>
    <w:p w14:paraId="40E01003" w14:textId="77777777" w:rsidR="003D470B" w:rsidRPr="001767F8" w:rsidRDefault="003D470B" w:rsidP="00AF054B">
      <w:pPr>
        <w:rPr>
          <w:rFonts w:eastAsia="Times New Roman" w:cstheme="minorHAnsi"/>
        </w:rPr>
      </w:pPr>
    </w:p>
    <w:p w14:paraId="3834A229" w14:textId="5F52BB1E" w:rsidR="004E37E6" w:rsidRDefault="004E37E6" w:rsidP="001767F8">
      <w:pPr>
        <w:rPr>
          <w:rFonts w:ascii="Calibri" w:eastAsia="Times New Roman" w:hAnsi="Calibri" w:cs="Calibri"/>
          <w:sz w:val="22"/>
          <w:szCs w:val="22"/>
        </w:rPr>
      </w:pPr>
      <w:r>
        <w:rPr>
          <w:rFonts w:ascii="Calibri" w:eastAsia="Times New Roman" w:hAnsi="Calibri" w:cs="Calibri"/>
          <w:sz w:val="22"/>
          <w:szCs w:val="22"/>
        </w:rPr>
        <w:t xml:space="preserve">To inform </w:t>
      </w:r>
      <w:r w:rsidR="0077038C">
        <w:rPr>
          <w:rFonts w:ascii="Calibri" w:eastAsia="Times New Roman" w:hAnsi="Calibri" w:cs="Calibri"/>
          <w:sz w:val="22"/>
          <w:szCs w:val="22"/>
        </w:rPr>
        <w:t xml:space="preserve">the </w:t>
      </w:r>
      <w:r>
        <w:rPr>
          <w:rFonts w:ascii="Calibri" w:eastAsia="Times New Roman" w:hAnsi="Calibri" w:cs="Calibri"/>
          <w:sz w:val="22"/>
          <w:szCs w:val="22"/>
        </w:rPr>
        <w:t xml:space="preserve">next steps, the accountability task force should research the following questions: </w:t>
      </w:r>
    </w:p>
    <w:p w14:paraId="21CB0162" w14:textId="0400C999" w:rsidR="004E37E6" w:rsidRDefault="004E37E6" w:rsidP="001767F8">
      <w:pPr>
        <w:rPr>
          <w:rFonts w:ascii="Calibri" w:eastAsia="Times New Roman" w:hAnsi="Calibri" w:cs="Calibri"/>
          <w:sz w:val="22"/>
          <w:szCs w:val="22"/>
        </w:rPr>
      </w:pPr>
    </w:p>
    <w:p w14:paraId="5495E49B" w14:textId="77777777" w:rsidR="00516FA6" w:rsidRDefault="004E37E6" w:rsidP="00613BDA">
      <w:pPr>
        <w:pStyle w:val="ListParagraph"/>
        <w:numPr>
          <w:ilvl w:val="0"/>
          <w:numId w:val="2"/>
        </w:numPr>
        <w:rPr>
          <w:rFonts w:ascii="Calibri" w:eastAsia="Times New Roman" w:hAnsi="Calibri" w:cs="Calibri"/>
          <w:sz w:val="22"/>
          <w:szCs w:val="22"/>
        </w:rPr>
      </w:pPr>
      <w:r>
        <w:rPr>
          <w:rFonts w:ascii="Calibri" w:eastAsia="Times New Roman" w:hAnsi="Calibri" w:cs="Calibri"/>
          <w:sz w:val="22"/>
          <w:szCs w:val="22"/>
        </w:rPr>
        <w:t>What is the</w:t>
      </w:r>
      <w:r w:rsidR="00516FA6">
        <w:rPr>
          <w:rFonts w:ascii="Calibri" w:eastAsia="Times New Roman" w:hAnsi="Calibri" w:cs="Calibri"/>
          <w:sz w:val="22"/>
          <w:szCs w:val="22"/>
        </w:rPr>
        <w:t xml:space="preserve"> growth rate of students across the distribution?  In particular, are level 3 students growing at similar rates compared to other </w:t>
      </w:r>
      <w:proofErr w:type="gramStart"/>
      <w:r w:rsidR="00516FA6">
        <w:rPr>
          <w:rFonts w:ascii="Calibri" w:eastAsia="Times New Roman" w:hAnsi="Calibri" w:cs="Calibri"/>
          <w:sz w:val="22"/>
          <w:szCs w:val="22"/>
        </w:rPr>
        <w:t>students</w:t>
      </w:r>
      <w:proofErr w:type="gramEnd"/>
      <w:r w:rsidR="00516FA6">
        <w:rPr>
          <w:rFonts w:ascii="Calibri" w:eastAsia="Times New Roman" w:hAnsi="Calibri" w:cs="Calibri"/>
          <w:sz w:val="22"/>
          <w:szCs w:val="22"/>
        </w:rPr>
        <w:t xml:space="preserve"> but the model isn’t detecting it?  Or are level 3 students demonstrating lower rates of growth?</w:t>
      </w:r>
    </w:p>
    <w:p w14:paraId="2D42A084" w14:textId="03E14B90" w:rsidR="004E37E6" w:rsidRPr="004E37E6" w:rsidRDefault="00516FA6" w:rsidP="00613BDA">
      <w:pPr>
        <w:pStyle w:val="ListParagraph"/>
        <w:numPr>
          <w:ilvl w:val="0"/>
          <w:numId w:val="2"/>
        </w:numPr>
        <w:rPr>
          <w:rFonts w:ascii="Calibri" w:eastAsia="Times New Roman" w:hAnsi="Calibri" w:cs="Calibri"/>
          <w:sz w:val="22"/>
          <w:szCs w:val="22"/>
        </w:rPr>
      </w:pPr>
      <w:r>
        <w:rPr>
          <w:rFonts w:ascii="Calibri" w:eastAsia="Times New Roman" w:hAnsi="Calibri" w:cs="Calibri"/>
          <w:sz w:val="22"/>
          <w:szCs w:val="22"/>
        </w:rPr>
        <w:t>What is the impact of changing growth model specifications</w:t>
      </w:r>
      <w:r w:rsidR="0077038C">
        <w:rPr>
          <w:rFonts w:ascii="Calibri" w:eastAsia="Times New Roman" w:hAnsi="Calibri" w:cs="Calibri"/>
          <w:sz w:val="22"/>
          <w:szCs w:val="22"/>
        </w:rPr>
        <w:t>,</w:t>
      </w:r>
      <w:r>
        <w:rPr>
          <w:rFonts w:ascii="Calibri" w:eastAsia="Times New Roman" w:hAnsi="Calibri" w:cs="Calibri"/>
          <w:sz w:val="22"/>
          <w:szCs w:val="22"/>
        </w:rPr>
        <w:t xml:space="preserve"> especially for level 3, such as by adding a level 3C?  To what extent is the impact distinct across schools?    </w:t>
      </w:r>
    </w:p>
    <w:p w14:paraId="1E3A6FC3" w14:textId="77777777" w:rsidR="004E37E6" w:rsidRDefault="004E37E6" w:rsidP="001767F8">
      <w:pPr>
        <w:rPr>
          <w:rFonts w:ascii="Calibri" w:eastAsia="Times New Roman" w:hAnsi="Calibri" w:cs="Calibri"/>
          <w:sz w:val="22"/>
          <w:szCs w:val="22"/>
        </w:rPr>
      </w:pPr>
    </w:p>
    <w:p w14:paraId="422ACE0F" w14:textId="77777777" w:rsidR="007A5A7B" w:rsidRDefault="007A5A7B" w:rsidP="0009100C">
      <w:pPr>
        <w:rPr>
          <w:rFonts w:cstheme="minorHAnsi"/>
          <w:b/>
          <w:bCs/>
          <w:color w:val="000000" w:themeColor="text1"/>
        </w:rPr>
      </w:pPr>
    </w:p>
    <w:p w14:paraId="6CB6BEA8" w14:textId="36B7D322" w:rsidR="007A5A7B" w:rsidRDefault="007A5A7B" w:rsidP="0009100C">
      <w:pPr>
        <w:rPr>
          <w:rFonts w:cstheme="minorHAnsi"/>
          <w:b/>
          <w:bCs/>
          <w:color w:val="000000" w:themeColor="text1"/>
        </w:rPr>
      </w:pPr>
      <w:r>
        <w:rPr>
          <w:rFonts w:cstheme="minorHAnsi"/>
          <w:b/>
          <w:bCs/>
          <w:color w:val="000000" w:themeColor="text1"/>
        </w:rPr>
        <w:t xml:space="preserve">Chronic Absenteeism </w:t>
      </w:r>
    </w:p>
    <w:p w14:paraId="452B990A" w14:textId="349AFEBB" w:rsidR="007A5A7B" w:rsidRDefault="007A5A7B" w:rsidP="0009100C">
      <w:pPr>
        <w:rPr>
          <w:rFonts w:cstheme="minorHAnsi"/>
          <w:b/>
          <w:bCs/>
          <w:color w:val="000000" w:themeColor="text1"/>
        </w:rPr>
      </w:pPr>
    </w:p>
    <w:p w14:paraId="681858C7" w14:textId="057EB79C" w:rsidR="00F42809" w:rsidRDefault="00F42809" w:rsidP="00F42809">
      <w:pPr>
        <w:textAlignment w:val="baseline"/>
        <w:rPr>
          <w:rFonts w:eastAsia="Times New Roman" w:cstheme="minorHAnsi"/>
          <w:color w:val="000000" w:themeColor="text1"/>
        </w:rPr>
      </w:pPr>
      <w:r w:rsidRPr="00F42809">
        <w:rPr>
          <w:rFonts w:eastAsia="Times New Roman" w:cstheme="minorHAnsi"/>
          <w:color w:val="000000" w:themeColor="text1"/>
        </w:rPr>
        <w:t>The MDE has received feedback suggesting that attendance/ absenteeism should be considered for accountability.  </w:t>
      </w:r>
      <w:r w:rsidRPr="00F42809">
        <w:rPr>
          <w:rFonts w:eastAsia="Times New Roman" w:cstheme="minorHAnsi"/>
          <w:color w:val="000000" w:themeColor="text1"/>
        </w:rPr>
        <w:t xml:space="preserve">The task force </w:t>
      </w:r>
      <w:r w:rsidRPr="00F42809">
        <w:rPr>
          <w:rFonts w:eastAsia="Times New Roman" w:cstheme="minorHAnsi"/>
          <w:color w:val="000000" w:themeColor="text1"/>
        </w:rPr>
        <w:t>review</w:t>
      </w:r>
      <w:r w:rsidRPr="00F42809">
        <w:rPr>
          <w:rFonts w:eastAsia="Times New Roman" w:cstheme="minorHAnsi"/>
          <w:color w:val="000000" w:themeColor="text1"/>
        </w:rPr>
        <w:t xml:space="preserve">ed how chronic absenteeism is calculated and explored some </w:t>
      </w:r>
      <w:r>
        <w:rPr>
          <w:rFonts w:eastAsia="Times New Roman" w:cstheme="minorHAnsi"/>
          <w:color w:val="000000" w:themeColor="text1"/>
        </w:rPr>
        <w:t xml:space="preserve">accountability practices related to chronic absenteeism in other states. </w:t>
      </w:r>
      <w:r w:rsidRPr="00F42809">
        <w:rPr>
          <w:rFonts w:eastAsia="Times New Roman" w:cstheme="minorHAnsi"/>
          <w:color w:val="000000" w:themeColor="text1"/>
        </w:rPr>
        <w:t xml:space="preserve"> </w:t>
      </w:r>
    </w:p>
    <w:p w14:paraId="62B681B1" w14:textId="77777777" w:rsidR="0077038C" w:rsidRDefault="0077038C" w:rsidP="00F42809">
      <w:pPr>
        <w:textAlignment w:val="baseline"/>
        <w:rPr>
          <w:rFonts w:eastAsia="Times New Roman" w:cstheme="minorHAnsi"/>
          <w:color w:val="000000" w:themeColor="text1"/>
        </w:rPr>
      </w:pPr>
    </w:p>
    <w:p w14:paraId="04454923" w14:textId="4F47D2D1" w:rsidR="0083029A" w:rsidRDefault="00F42809" w:rsidP="00F42809">
      <w:pPr>
        <w:textAlignment w:val="baseline"/>
        <w:rPr>
          <w:rFonts w:eastAsia="Times New Roman" w:cstheme="minorHAnsi"/>
          <w:color w:val="000000" w:themeColor="text1"/>
        </w:rPr>
      </w:pPr>
      <w:r>
        <w:rPr>
          <w:rFonts w:eastAsia="Times New Roman" w:cstheme="minorHAnsi"/>
          <w:color w:val="000000" w:themeColor="text1"/>
        </w:rPr>
        <w:lastRenderedPageBreak/>
        <w:t xml:space="preserve">While task force members emphasized that attendance is very </w:t>
      </w:r>
      <w:proofErr w:type="gramStart"/>
      <w:r>
        <w:rPr>
          <w:rFonts w:eastAsia="Times New Roman" w:cstheme="minorHAnsi"/>
          <w:color w:val="000000" w:themeColor="text1"/>
        </w:rPr>
        <w:t>important</w:t>
      </w:r>
      <w:proofErr w:type="gramEnd"/>
      <w:r>
        <w:rPr>
          <w:rFonts w:eastAsia="Times New Roman" w:cstheme="minorHAnsi"/>
          <w:color w:val="000000" w:themeColor="text1"/>
        </w:rPr>
        <w:t xml:space="preserve"> they were also very clear in emphasizing that it should not be a component in school or district accountability.  The</w:t>
      </w:r>
      <w:r w:rsidR="0083029A">
        <w:rPr>
          <w:rFonts w:eastAsia="Times New Roman" w:cstheme="minorHAnsi"/>
          <w:color w:val="000000" w:themeColor="text1"/>
        </w:rPr>
        <w:t xml:space="preserve">y voiced concern that attendance is outside the control of schools and districts particularly because many are </w:t>
      </w:r>
      <w:r w:rsidR="0077038C">
        <w:rPr>
          <w:rFonts w:eastAsia="Times New Roman" w:cstheme="minorHAnsi"/>
          <w:color w:val="000000" w:themeColor="text1"/>
        </w:rPr>
        <w:t>under-resourced</w:t>
      </w:r>
      <w:r w:rsidR="0083029A">
        <w:rPr>
          <w:rFonts w:eastAsia="Times New Roman" w:cstheme="minorHAnsi"/>
          <w:color w:val="000000" w:themeColor="text1"/>
        </w:rPr>
        <w:t xml:space="preserve"> and lack systems and personnel to appropriately support attendance. Moreover, several committee members indicated that adding absenteeism to the model would spark negative feedback and erode support for school accountability.  </w:t>
      </w:r>
    </w:p>
    <w:p w14:paraId="11C7F060" w14:textId="0D78C19C" w:rsidR="0083029A" w:rsidRDefault="0083029A" w:rsidP="00F42809">
      <w:pPr>
        <w:textAlignment w:val="baseline"/>
        <w:rPr>
          <w:rFonts w:eastAsia="Times New Roman" w:cstheme="minorHAnsi"/>
          <w:color w:val="000000" w:themeColor="text1"/>
        </w:rPr>
      </w:pPr>
    </w:p>
    <w:p w14:paraId="6CA8345E" w14:textId="4139E642" w:rsidR="0083029A" w:rsidRDefault="0083029A" w:rsidP="00F42809">
      <w:pPr>
        <w:textAlignment w:val="baseline"/>
        <w:rPr>
          <w:rFonts w:eastAsia="Times New Roman" w:cstheme="minorHAnsi"/>
          <w:color w:val="000000" w:themeColor="text1"/>
        </w:rPr>
      </w:pPr>
      <w:r>
        <w:rPr>
          <w:rFonts w:eastAsia="Times New Roman" w:cstheme="minorHAnsi"/>
          <w:color w:val="000000" w:themeColor="text1"/>
        </w:rPr>
        <w:t xml:space="preserve">The accountability task force advised that the state should focus on strategies such as: </w:t>
      </w:r>
    </w:p>
    <w:p w14:paraId="654344FF" w14:textId="43695213" w:rsidR="0083029A" w:rsidRDefault="0083029A" w:rsidP="00613BDA">
      <w:pPr>
        <w:pStyle w:val="ListParagraph"/>
        <w:numPr>
          <w:ilvl w:val="0"/>
          <w:numId w:val="2"/>
        </w:numPr>
        <w:textAlignment w:val="baseline"/>
        <w:rPr>
          <w:rFonts w:eastAsia="Times New Roman" w:cstheme="minorHAnsi"/>
          <w:color w:val="000000" w:themeColor="text1"/>
        </w:rPr>
      </w:pPr>
      <w:r>
        <w:rPr>
          <w:rFonts w:eastAsia="Times New Roman" w:cstheme="minorHAnsi"/>
          <w:color w:val="000000" w:themeColor="text1"/>
        </w:rPr>
        <w:t xml:space="preserve">Celebrate accomplishments of districts and schools that improve attendance </w:t>
      </w:r>
    </w:p>
    <w:p w14:paraId="3A7E8B47" w14:textId="101B9993" w:rsidR="0083029A" w:rsidRDefault="0083029A" w:rsidP="00613BDA">
      <w:pPr>
        <w:pStyle w:val="ListParagraph"/>
        <w:numPr>
          <w:ilvl w:val="0"/>
          <w:numId w:val="2"/>
        </w:numPr>
        <w:textAlignment w:val="baseline"/>
        <w:rPr>
          <w:rFonts w:eastAsia="Times New Roman" w:cstheme="minorHAnsi"/>
          <w:color w:val="000000" w:themeColor="text1"/>
        </w:rPr>
      </w:pPr>
      <w:r>
        <w:rPr>
          <w:rFonts w:eastAsia="Times New Roman" w:cstheme="minorHAnsi"/>
          <w:color w:val="000000" w:themeColor="text1"/>
        </w:rPr>
        <w:t xml:space="preserve">Share strategies for helping districts and schools improve attendance </w:t>
      </w:r>
    </w:p>
    <w:p w14:paraId="0DDF60E4" w14:textId="2542A9F4" w:rsidR="0083029A" w:rsidRDefault="0083029A" w:rsidP="00613BDA">
      <w:pPr>
        <w:pStyle w:val="ListParagraph"/>
        <w:numPr>
          <w:ilvl w:val="0"/>
          <w:numId w:val="2"/>
        </w:numPr>
        <w:textAlignment w:val="baseline"/>
        <w:rPr>
          <w:rFonts w:eastAsia="Times New Roman" w:cstheme="minorHAnsi"/>
          <w:color w:val="000000" w:themeColor="text1"/>
        </w:rPr>
      </w:pPr>
      <w:r>
        <w:rPr>
          <w:rFonts w:eastAsia="Times New Roman" w:cstheme="minorHAnsi"/>
          <w:color w:val="000000" w:themeColor="text1"/>
        </w:rPr>
        <w:t xml:space="preserve">Provide more resources for hiring and placement of support staff </w:t>
      </w:r>
    </w:p>
    <w:p w14:paraId="5C097D57" w14:textId="77777777" w:rsidR="00F42809" w:rsidRPr="00F42809" w:rsidRDefault="00F42809" w:rsidP="00F42809">
      <w:pPr>
        <w:textAlignment w:val="baseline"/>
        <w:rPr>
          <w:rFonts w:eastAsia="Times New Roman" w:cstheme="minorHAnsi"/>
          <w:color w:val="000000" w:themeColor="text1"/>
        </w:rPr>
      </w:pPr>
    </w:p>
    <w:p w14:paraId="2C46517B" w14:textId="201B49A7" w:rsidR="00F42809" w:rsidRPr="0083029A" w:rsidRDefault="0083029A" w:rsidP="00F42809">
      <w:pPr>
        <w:textAlignment w:val="baseline"/>
        <w:rPr>
          <w:rFonts w:eastAsia="Times New Roman" w:cstheme="minorHAnsi"/>
          <w:b/>
          <w:bCs/>
          <w:color w:val="000000" w:themeColor="text1"/>
        </w:rPr>
      </w:pPr>
      <w:r w:rsidRPr="0083029A">
        <w:rPr>
          <w:rFonts w:eastAsia="Times New Roman" w:cstheme="minorHAnsi"/>
          <w:b/>
          <w:bCs/>
          <w:color w:val="000000" w:themeColor="text1"/>
        </w:rPr>
        <w:t>Missing Test Scores in 2020</w:t>
      </w:r>
    </w:p>
    <w:p w14:paraId="51E53ED8" w14:textId="62A8C0A1" w:rsidR="0083029A" w:rsidRPr="0077038C" w:rsidRDefault="0083029A" w:rsidP="00F42809">
      <w:pPr>
        <w:textAlignment w:val="baseline"/>
        <w:rPr>
          <w:rFonts w:eastAsia="Times New Roman" w:cstheme="minorHAnsi"/>
          <w:color w:val="595959"/>
        </w:rPr>
      </w:pPr>
    </w:p>
    <w:p w14:paraId="1EDE45C5" w14:textId="77777777" w:rsidR="003366F2" w:rsidRPr="0077038C" w:rsidRDefault="003366F2" w:rsidP="0083029A">
      <w:pPr>
        <w:pStyle w:val="NormalWeb"/>
        <w:spacing w:before="0" w:beforeAutospacing="0" w:after="0" w:afterAutospacing="0"/>
        <w:rPr>
          <w:rFonts w:ascii="Calibri" w:hAnsi="Calibri" w:cs="Calibri"/>
        </w:rPr>
      </w:pPr>
      <w:r w:rsidRPr="0077038C">
        <w:rPr>
          <w:rFonts w:ascii="Calibri" w:hAnsi="Calibri" w:cs="Calibri"/>
        </w:rPr>
        <w:t>Due to pandemic disruptions in 2020, scores from 7</w:t>
      </w:r>
      <w:r w:rsidRPr="0077038C">
        <w:rPr>
          <w:rFonts w:ascii="Calibri" w:hAnsi="Calibri" w:cs="Calibri"/>
          <w:vertAlign w:val="superscript"/>
        </w:rPr>
        <w:t>th</w:t>
      </w:r>
      <w:r w:rsidRPr="0077038C">
        <w:rPr>
          <w:rFonts w:ascii="Calibri" w:hAnsi="Calibri" w:cs="Calibri"/>
        </w:rPr>
        <w:t xml:space="preserve"> grade examinees that would have otherwise been banked are missing for 2023 calculations.  This primarily impacts two districts.  One suggestion is to allow districts with missing scores from 7</w:t>
      </w:r>
      <w:r w:rsidRPr="0077038C">
        <w:rPr>
          <w:rFonts w:ascii="Calibri" w:hAnsi="Calibri" w:cs="Calibri"/>
          <w:vertAlign w:val="superscript"/>
        </w:rPr>
        <w:t>th</w:t>
      </w:r>
      <w:r w:rsidRPr="0077038C">
        <w:rPr>
          <w:rFonts w:ascii="Calibri" w:hAnsi="Calibri" w:cs="Calibri"/>
        </w:rPr>
        <w:t xml:space="preserve"> grade examinees in 2020 to include scores from current year 7</w:t>
      </w:r>
      <w:r w:rsidRPr="0077038C">
        <w:rPr>
          <w:rFonts w:ascii="Calibri" w:hAnsi="Calibri" w:cs="Calibri"/>
          <w:vertAlign w:val="superscript"/>
        </w:rPr>
        <w:t>th</w:t>
      </w:r>
      <w:r w:rsidRPr="0077038C">
        <w:rPr>
          <w:rFonts w:ascii="Calibri" w:hAnsi="Calibri" w:cs="Calibri"/>
        </w:rPr>
        <w:t xml:space="preserve"> graders in the corresponding course (i.e., Algebra I) to count for accountability purposes.   </w:t>
      </w:r>
    </w:p>
    <w:p w14:paraId="105B8222" w14:textId="77777777" w:rsidR="003366F2" w:rsidRPr="0077038C" w:rsidRDefault="003366F2" w:rsidP="0083029A">
      <w:pPr>
        <w:pStyle w:val="NormalWeb"/>
        <w:spacing w:before="0" w:beforeAutospacing="0" w:after="0" w:afterAutospacing="0"/>
        <w:rPr>
          <w:rFonts w:ascii="Calibri" w:hAnsi="Calibri" w:cs="Calibri"/>
        </w:rPr>
      </w:pPr>
    </w:p>
    <w:p w14:paraId="1F0E2D27" w14:textId="43F01AFD" w:rsidR="003366F2" w:rsidRPr="0077038C" w:rsidRDefault="003366F2" w:rsidP="0083029A">
      <w:pPr>
        <w:pStyle w:val="NormalWeb"/>
        <w:spacing w:before="0" w:beforeAutospacing="0" w:after="0" w:afterAutospacing="0"/>
        <w:rPr>
          <w:rFonts w:ascii="Calibri" w:hAnsi="Calibri" w:cs="Calibri"/>
        </w:rPr>
      </w:pPr>
      <w:r w:rsidRPr="0077038C">
        <w:rPr>
          <w:rFonts w:ascii="Calibri" w:hAnsi="Calibri" w:cs="Calibri"/>
        </w:rPr>
        <w:t xml:space="preserve">Dr. Domaleski asked the task force to register objection if they did not support this practice.  No committee members objected.  </w:t>
      </w:r>
    </w:p>
    <w:p w14:paraId="7EF2CA5C" w14:textId="434A1E83" w:rsidR="0083029A" w:rsidRDefault="0083029A" w:rsidP="00F42809">
      <w:pPr>
        <w:textAlignment w:val="baseline"/>
        <w:rPr>
          <w:rFonts w:eastAsia="Times New Roman" w:cstheme="minorHAnsi"/>
          <w:color w:val="595959"/>
        </w:rPr>
      </w:pPr>
    </w:p>
    <w:p w14:paraId="27EAF2FF" w14:textId="77777777" w:rsidR="007A5A7B" w:rsidRDefault="007A5A7B" w:rsidP="0009100C">
      <w:pPr>
        <w:rPr>
          <w:rFonts w:cstheme="minorHAnsi"/>
          <w:b/>
          <w:bCs/>
          <w:color w:val="000000" w:themeColor="text1"/>
        </w:rPr>
      </w:pPr>
    </w:p>
    <w:p w14:paraId="7DEA7614" w14:textId="39BD22C0" w:rsidR="00716D56" w:rsidRPr="0083029A" w:rsidRDefault="00716D56" w:rsidP="0009100C">
      <w:pPr>
        <w:rPr>
          <w:rFonts w:cstheme="minorHAnsi"/>
          <w:b/>
          <w:bCs/>
          <w:color w:val="000000" w:themeColor="text1"/>
        </w:rPr>
      </w:pPr>
      <w:r w:rsidRPr="0083029A">
        <w:rPr>
          <w:rFonts w:cstheme="minorHAnsi"/>
          <w:b/>
          <w:bCs/>
          <w:color w:val="000000" w:themeColor="text1"/>
        </w:rPr>
        <w:t xml:space="preserve">Future Topics </w:t>
      </w:r>
    </w:p>
    <w:p w14:paraId="1406826F" w14:textId="77777777" w:rsidR="00716D56" w:rsidRPr="0083029A" w:rsidRDefault="00716D56" w:rsidP="0009100C">
      <w:pPr>
        <w:rPr>
          <w:rFonts w:cstheme="minorHAnsi"/>
          <w:color w:val="000000" w:themeColor="text1"/>
        </w:rPr>
      </w:pPr>
    </w:p>
    <w:p w14:paraId="74F28C9C" w14:textId="2DAAE51B" w:rsidR="00956BC6" w:rsidRPr="0083029A" w:rsidRDefault="000B5246" w:rsidP="0009100C">
      <w:pPr>
        <w:rPr>
          <w:rFonts w:cstheme="minorHAnsi"/>
          <w:color w:val="000000" w:themeColor="text1"/>
        </w:rPr>
      </w:pPr>
      <w:r w:rsidRPr="0083029A">
        <w:rPr>
          <w:rFonts w:cstheme="minorHAnsi"/>
          <w:color w:val="000000" w:themeColor="text1"/>
        </w:rPr>
        <w:t xml:space="preserve">In the last session, Dr. Domaleski </w:t>
      </w:r>
      <w:r w:rsidR="00EA081A" w:rsidRPr="0083029A">
        <w:rPr>
          <w:rFonts w:cstheme="minorHAnsi"/>
          <w:color w:val="000000" w:themeColor="text1"/>
        </w:rPr>
        <w:t xml:space="preserve">invited members to identify their priorities for topics the ATF should address at future meetings.   Suggestions included the following: </w:t>
      </w:r>
    </w:p>
    <w:p w14:paraId="1F2A1918" w14:textId="2D117667" w:rsidR="00EA081A" w:rsidRPr="0083029A" w:rsidRDefault="00EA081A" w:rsidP="0009100C">
      <w:pPr>
        <w:rPr>
          <w:rFonts w:cstheme="minorHAnsi"/>
          <w:color w:val="000000" w:themeColor="text1"/>
        </w:rPr>
      </w:pPr>
    </w:p>
    <w:p w14:paraId="3C8889FB" w14:textId="7C1299EE" w:rsidR="00516FA6" w:rsidRPr="0083029A" w:rsidRDefault="00516FA6" w:rsidP="00613BDA">
      <w:pPr>
        <w:numPr>
          <w:ilvl w:val="0"/>
          <w:numId w:val="3"/>
        </w:numPr>
        <w:textAlignment w:val="center"/>
        <w:rPr>
          <w:rFonts w:ascii="Calibri" w:eastAsia="Times New Roman" w:hAnsi="Calibri" w:cs="Calibri"/>
        </w:rPr>
      </w:pPr>
      <w:r w:rsidRPr="0083029A">
        <w:rPr>
          <w:rFonts w:ascii="Calibri" w:eastAsia="Times New Roman" w:hAnsi="Calibri" w:cs="Calibri"/>
        </w:rPr>
        <w:t>Several committee members emphasized the importance of exploring changes in the growth model</w:t>
      </w:r>
      <w:r w:rsidR="007A5A7B" w:rsidRPr="0083029A">
        <w:rPr>
          <w:rFonts w:ascii="Calibri" w:eastAsia="Times New Roman" w:hAnsi="Calibri" w:cs="Calibri"/>
        </w:rPr>
        <w:t xml:space="preserve"> especially growth in levels 1, 2, and 3. </w:t>
      </w:r>
    </w:p>
    <w:p w14:paraId="594F040D" w14:textId="77777777" w:rsidR="00516FA6" w:rsidRPr="0083029A" w:rsidRDefault="00516FA6" w:rsidP="00613BDA">
      <w:pPr>
        <w:numPr>
          <w:ilvl w:val="0"/>
          <w:numId w:val="3"/>
        </w:numPr>
        <w:textAlignment w:val="center"/>
        <w:rPr>
          <w:rFonts w:ascii="Calibri" w:eastAsia="Times New Roman" w:hAnsi="Calibri" w:cs="Calibri"/>
        </w:rPr>
      </w:pPr>
      <w:r w:rsidRPr="0083029A">
        <w:rPr>
          <w:rFonts w:ascii="Calibri" w:eastAsia="Times New Roman" w:hAnsi="Calibri" w:cs="Calibri"/>
        </w:rPr>
        <w:t>Consider changes in growth for students with significant cognitive disabilities</w:t>
      </w:r>
    </w:p>
    <w:p w14:paraId="2789A067" w14:textId="156A77F8" w:rsidR="00516FA6" w:rsidRPr="00516FA6" w:rsidRDefault="00516FA6" w:rsidP="00613BDA">
      <w:pPr>
        <w:numPr>
          <w:ilvl w:val="0"/>
          <w:numId w:val="3"/>
        </w:numPr>
        <w:textAlignment w:val="center"/>
        <w:rPr>
          <w:rFonts w:ascii="Calibri" w:eastAsia="Times New Roman" w:hAnsi="Calibri" w:cs="Calibri"/>
        </w:rPr>
      </w:pPr>
      <w:r w:rsidRPr="0083029A">
        <w:rPr>
          <w:rFonts w:ascii="Calibri" w:eastAsia="Times New Roman" w:hAnsi="Calibri" w:cs="Calibri"/>
        </w:rPr>
        <w:t>Explore providing credit for earning c</w:t>
      </w:r>
      <w:r w:rsidRPr="00516FA6">
        <w:rPr>
          <w:rFonts w:ascii="Calibri" w:eastAsia="Times New Roman" w:hAnsi="Calibri" w:cs="Calibri"/>
        </w:rPr>
        <w:t xml:space="preserve">ertifications and </w:t>
      </w:r>
      <w:r w:rsidRPr="0083029A">
        <w:rPr>
          <w:rFonts w:ascii="Calibri" w:eastAsia="Times New Roman" w:hAnsi="Calibri" w:cs="Calibri"/>
        </w:rPr>
        <w:t xml:space="preserve">diploma </w:t>
      </w:r>
      <w:r w:rsidRPr="00516FA6">
        <w:rPr>
          <w:rFonts w:ascii="Calibri" w:eastAsia="Times New Roman" w:hAnsi="Calibri" w:cs="Calibri"/>
        </w:rPr>
        <w:t xml:space="preserve">endorsements  </w:t>
      </w:r>
    </w:p>
    <w:p w14:paraId="65DB5F11" w14:textId="4FD7A680" w:rsidR="00516FA6" w:rsidRPr="00516FA6" w:rsidRDefault="007A5A7B" w:rsidP="00613BDA">
      <w:pPr>
        <w:numPr>
          <w:ilvl w:val="0"/>
          <w:numId w:val="3"/>
        </w:numPr>
        <w:textAlignment w:val="center"/>
        <w:rPr>
          <w:rFonts w:ascii="Calibri" w:eastAsia="Times New Roman" w:hAnsi="Calibri" w:cs="Calibri"/>
        </w:rPr>
      </w:pPr>
      <w:r w:rsidRPr="0083029A">
        <w:rPr>
          <w:rFonts w:ascii="Calibri" w:eastAsia="Times New Roman" w:hAnsi="Calibri" w:cs="Calibri"/>
        </w:rPr>
        <w:t>Discuss whether the state should t</w:t>
      </w:r>
      <w:r w:rsidR="00516FA6" w:rsidRPr="00516FA6">
        <w:rPr>
          <w:rFonts w:ascii="Calibri" w:eastAsia="Times New Roman" w:hAnsi="Calibri" w:cs="Calibri"/>
        </w:rPr>
        <w:t xml:space="preserve">est students in US history in </w:t>
      </w:r>
      <w:r w:rsidRPr="0083029A">
        <w:rPr>
          <w:rFonts w:ascii="Calibri" w:eastAsia="Times New Roman" w:hAnsi="Calibri" w:cs="Calibri"/>
        </w:rPr>
        <w:t>the 8</w:t>
      </w:r>
      <w:r w:rsidRPr="0083029A">
        <w:rPr>
          <w:rFonts w:ascii="Calibri" w:eastAsia="Times New Roman" w:hAnsi="Calibri" w:cs="Calibri"/>
          <w:vertAlign w:val="superscript"/>
        </w:rPr>
        <w:t>th</w:t>
      </w:r>
      <w:r w:rsidRPr="0083029A">
        <w:rPr>
          <w:rFonts w:ascii="Calibri" w:eastAsia="Times New Roman" w:hAnsi="Calibri" w:cs="Calibri"/>
        </w:rPr>
        <w:t xml:space="preserve"> grade instead of </w:t>
      </w:r>
      <w:r w:rsidR="00516FA6" w:rsidRPr="00516FA6">
        <w:rPr>
          <w:rFonts w:ascii="Calibri" w:eastAsia="Times New Roman" w:hAnsi="Calibri" w:cs="Calibri"/>
        </w:rPr>
        <w:t xml:space="preserve">11th grade </w:t>
      </w:r>
    </w:p>
    <w:p w14:paraId="568D3E50" w14:textId="70A84355" w:rsidR="00516FA6" w:rsidRPr="0083029A" w:rsidRDefault="007A5A7B" w:rsidP="00613BDA">
      <w:pPr>
        <w:numPr>
          <w:ilvl w:val="0"/>
          <w:numId w:val="3"/>
        </w:numPr>
        <w:textAlignment w:val="center"/>
        <w:rPr>
          <w:rFonts w:ascii="Calibri" w:eastAsia="Times New Roman" w:hAnsi="Calibri" w:cs="Calibri"/>
        </w:rPr>
      </w:pPr>
      <w:r w:rsidRPr="0083029A">
        <w:rPr>
          <w:rFonts w:ascii="Calibri" w:eastAsia="Times New Roman" w:hAnsi="Calibri" w:cs="Calibri"/>
        </w:rPr>
        <w:t xml:space="preserve">Consider strategies for how the state can better address social emotional learning.  While it may not be appropriate to put it in the accountability model, we need to focus on supporting students in areas beyond academics.  </w:t>
      </w:r>
    </w:p>
    <w:p w14:paraId="022C0819" w14:textId="2FDBBDFA" w:rsidR="007A5A7B" w:rsidRPr="0083029A" w:rsidRDefault="007A5A7B" w:rsidP="00613BDA">
      <w:pPr>
        <w:numPr>
          <w:ilvl w:val="0"/>
          <w:numId w:val="3"/>
        </w:numPr>
        <w:textAlignment w:val="center"/>
        <w:rPr>
          <w:rFonts w:ascii="Calibri" w:eastAsia="Times New Roman" w:hAnsi="Calibri" w:cs="Calibri"/>
        </w:rPr>
      </w:pPr>
      <w:r w:rsidRPr="0083029A">
        <w:rPr>
          <w:rFonts w:ascii="Calibri" w:eastAsia="Times New Roman" w:hAnsi="Calibri" w:cs="Calibri"/>
        </w:rPr>
        <w:t xml:space="preserve">Many committee members expressed appreciation for meeting in person and affirmed that it is beneficial to the quality of discussions.  </w:t>
      </w:r>
    </w:p>
    <w:p w14:paraId="1C13EEF2" w14:textId="0A95AAF7" w:rsidR="007A5A7B" w:rsidRPr="00516FA6" w:rsidRDefault="007A5A7B" w:rsidP="00613BDA">
      <w:pPr>
        <w:numPr>
          <w:ilvl w:val="0"/>
          <w:numId w:val="3"/>
        </w:numPr>
        <w:textAlignment w:val="center"/>
        <w:rPr>
          <w:rFonts w:ascii="Calibri" w:eastAsia="Times New Roman" w:hAnsi="Calibri" w:cs="Calibri"/>
        </w:rPr>
      </w:pPr>
      <w:r w:rsidRPr="0083029A">
        <w:rPr>
          <w:rFonts w:ascii="Calibri" w:eastAsia="Times New Roman" w:hAnsi="Calibri" w:cs="Calibri"/>
        </w:rPr>
        <w:t>Follow-up on reporting suggestions, especially the suggestion to no longer report the bottom 10 and to reward high progress schools.</w:t>
      </w:r>
    </w:p>
    <w:p w14:paraId="6B047D31" w14:textId="4E6387AA" w:rsidR="007A5A7B" w:rsidRPr="0083029A" w:rsidRDefault="007A5A7B" w:rsidP="00613BDA">
      <w:pPr>
        <w:numPr>
          <w:ilvl w:val="0"/>
          <w:numId w:val="3"/>
        </w:numPr>
        <w:textAlignment w:val="center"/>
        <w:rPr>
          <w:rFonts w:ascii="Calibri" w:eastAsia="Times New Roman" w:hAnsi="Calibri" w:cs="Calibri"/>
        </w:rPr>
      </w:pPr>
      <w:r w:rsidRPr="0083029A">
        <w:rPr>
          <w:rFonts w:ascii="Calibri" w:eastAsia="Times New Roman" w:hAnsi="Calibri" w:cs="Calibri"/>
        </w:rPr>
        <w:t xml:space="preserve">Study the impact of n-size on accountability and whether it needs to be adjusted. </w:t>
      </w:r>
    </w:p>
    <w:sectPr w:rsidR="007A5A7B" w:rsidRPr="0083029A" w:rsidSect="005232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D729" w14:textId="77777777" w:rsidR="00613BDA" w:rsidRDefault="00613BDA" w:rsidP="00DF35B5">
      <w:r>
        <w:separator/>
      </w:r>
    </w:p>
  </w:endnote>
  <w:endnote w:type="continuationSeparator" w:id="0">
    <w:p w14:paraId="1AD595BF" w14:textId="77777777" w:rsidR="00613BDA" w:rsidRDefault="00613BDA" w:rsidP="00DF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370988"/>
      <w:docPartObj>
        <w:docPartGallery w:val="Page Numbers (Bottom of Page)"/>
        <w:docPartUnique/>
      </w:docPartObj>
    </w:sdtPr>
    <w:sdtEndPr>
      <w:rPr>
        <w:rStyle w:val="PageNumber"/>
      </w:rPr>
    </w:sdtEndPr>
    <w:sdtContent>
      <w:p w14:paraId="3ABB4502" w14:textId="3B1D57A5"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72AF49" w14:textId="77777777" w:rsidR="00DF35B5" w:rsidRDefault="00DF35B5" w:rsidP="00DF3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3385474"/>
      <w:docPartObj>
        <w:docPartGallery w:val="Page Numbers (Bottom of Page)"/>
        <w:docPartUnique/>
      </w:docPartObj>
    </w:sdtPr>
    <w:sdtEndPr>
      <w:rPr>
        <w:rStyle w:val="PageNumber"/>
      </w:rPr>
    </w:sdtEndPr>
    <w:sdtContent>
      <w:p w14:paraId="78C485B9" w14:textId="161F48F8" w:rsidR="00DF35B5" w:rsidRDefault="00DF35B5" w:rsidP="00625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73B3C6" w14:textId="77777777" w:rsidR="00DF35B5" w:rsidRDefault="00DF35B5" w:rsidP="00DF3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526D" w14:textId="77777777" w:rsidR="003749CC" w:rsidRDefault="0037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AC20" w14:textId="77777777" w:rsidR="00613BDA" w:rsidRDefault="00613BDA" w:rsidP="00DF35B5">
      <w:r>
        <w:separator/>
      </w:r>
    </w:p>
  </w:footnote>
  <w:footnote w:type="continuationSeparator" w:id="0">
    <w:p w14:paraId="520AFC03" w14:textId="77777777" w:rsidR="00613BDA" w:rsidRDefault="00613BDA" w:rsidP="00DF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0714" w14:textId="77777777" w:rsidR="003749CC" w:rsidRDefault="00374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90E3" w14:textId="77777777" w:rsidR="003749CC" w:rsidRDefault="00374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3B3A" w14:textId="77777777" w:rsidR="003749CC" w:rsidRDefault="00374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B046D"/>
    <w:multiLevelType w:val="multilevel"/>
    <w:tmpl w:val="E41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B81C54"/>
    <w:multiLevelType w:val="multilevel"/>
    <w:tmpl w:val="087AA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80B1D"/>
    <w:multiLevelType w:val="hybridMultilevel"/>
    <w:tmpl w:val="95043BC6"/>
    <w:lvl w:ilvl="0" w:tplc="19FE86BE">
      <w:start w:val="27"/>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26"/>
    <w:rsid w:val="00012FEE"/>
    <w:rsid w:val="0001441F"/>
    <w:rsid w:val="00022839"/>
    <w:rsid w:val="00040556"/>
    <w:rsid w:val="0009100C"/>
    <w:rsid w:val="000A5367"/>
    <w:rsid w:val="000A70C6"/>
    <w:rsid w:val="000B5246"/>
    <w:rsid w:val="000C3A56"/>
    <w:rsid w:val="000D59D7"/>
    <w:rsid w:val="000E1E4F"/>
    <w:rsid w:val="000F05E8"/>
    <w:rsid w:val="000F2FFE"/>
    <w:rsid w:val="00101B0E"/>
    <w:rsid w:val="00114B86"/>
    <w:rsid w:val="0012164E"/>
    <w:rsid w:val="00123D48"/>
    <w:rsid w:val="00126467"/>
    <w:rsid w:val="001767F8"/>
    <w:rsid w:val="00180AA4"/>
    <w:rsid w:val="00181889"/>
    <w:rsid w:val="001908B4"/>
    <w:rsid w:val="00191D6F"/>
    <w:rsid w:val="001A3DD4"/>
    <w:rsid w:val="001B7443"/>
    <w:rsid w:val="001D021C"/>
    <w:rsid w:val="001D20D4"/>
    <w:rsid w:val="001F17FA"/>
    <w:rsid w:val="00210388"/>
    <w:rsid w:val="00211E96"/>
    <w:rsid w:val="00226798"/>
    <w:rsid w:val="00230C57"/>
    <w:rsid w:val="002366CE"/>
    <w:rsid w:val="002372E6"/>
    <w:rsid w:val="00261B8E"/>
    <w:rsid w:val="002764A1"/>
    <w:rsid w:val="002A3C36"/>
    <w:rsid w:val="002A6B5C"/>
    <w:rsid w:val="002E5B54"/>
    <w:rsid w:val="002E761B"/>
    <w:rsid w:val="002F1DB2"/>
    <w:rsid w:val="00300D80"/>
    <w:rsid w:val="00301594"/>
    <w:rsid w:val="00304B52"/>
    <w:rsid w:val="003366F2"/>
    <w:rsid w:val="00336A9A"/>
    <w:rsid w:val="00344883"/>
    <w:rsid w:val="003527E0"/>
    <w:rsid w:val="00353CB0"/>
    <w:rsid w:val="00362E70"/>
    <w:rsid w:val="003749CC"/>
    <w:rsid w:val="003C1004"/>
    <w:rsid w:val="003C2DEC"/>
    <w:rsid w:val="003D470B"/>
    <w:rsid w:val="003E3351"/>
    <w:rsid w:val="003F3223"/>
    <w:rsid w:val="004078D2"/>
    <w:rsid w:val="004160F1"/>
    <w:rsid w:val="00427C5C"/>
    <w:rsid w:val="00433D0E"/>
    <w:rsid w:val="00435C0E"/>
    <w:rsid w:val="00437E31"/>
    <w:rsid w:val="00451630"/>
    <w:rsid w:val="00452CDF"/>
    <w:rsid w:val="00470247"/>
    <w:rsid w:val="004753F1"/>
    <w:rsid w:val="004930F3"/>
    <w:rsid w:val="004A06CB"/>
    <w:rsid w:val="004B3076"/>
    <w:rsid w:val="004C0A7A"/>
    <w:rsid w:val="004D0E73"/>
    <w:rsid w:val="004D10AA"/>
    <w:rsid w:val="004D2F9F"/>
    <w:rsid w:val="004D55CA"/>
    <w:rsid w:val="004E37E6"/>
    <w:rsid w:val="00500429"/>
    <w:rsid w:val="00511640"/>
    <w:rsid w:val="00516FA6"/>
    <w:rsid w:val="00522717"/>
    <w:rsid w:val="00522AC8"/>
    <w:rsid w:val="00523247"/>
    <w:rsid w:val="005304C1"/>
    <w:rsid w:val="00547081"/>
    <w:rsid w:val="00560BD7"/>
    <w:rsid w:val="0056249E"/>
    <w:rsid w:val="005645BF"/>
    <w:rsid w:val="00566E6E"/>
    <w:rsid w:val="00594E1F"/>
    <w:rsid w:val="005B1EB7"/>
    <w:rsid w:val="005B4787"/>
    <w:rsid w:val="005C3ED2"/>
    <w:rsid w:val="005C49D4"/>
    <w:rsid w:val="005E2325"/>
    <w:rsid w:val="006121FD"/>
    <w:rsid w:val="00613BDA"/>
    <w:rsid w:val="00615DF0"/>
    <w:rsid w:val="0063133F"/>
    <w:rsid w:val="00633DE1"/>
    <w:rsid w:val="00650788"/>
    <w:rsid w:val="006603E6"/>
    <w:rsid w:val="00697A73"/>
    <w:rsid w:val="006A65A9"/>
    <w:rsid w:val="006E477E"/>
    <w:rsid w:val="006F2EAF"/>
    <w:rsid w:val="00705664"/>
    <w:rsid w:val="007101A4"/>
    <w:rsid w:val="00716D56"/>
    <w:rsid w:val="007173F1"/>
    <w:rsid w:val="007229F6"/>
    <w:rsid w:val="00737426"/>
    <w:rsid w:val="00756216"/>
    <w:rsid w:val="0077038C"/>
    <w:rsid w:val="007A2B26"/>
    <w:rsid w:val="007A5A7B"/>
    <w:rsid w:val="007B3A20"/>
    <w:rsid w:val="007B3BBF"/>
    <w:rsid w:val="007D05FE"/>
    <w:rsid w:val="007D314B"/>
    <w:rsid w:val="007E06CF"/>
    <w:rsid w:val="007F7A7D"/>
    <w:rsid w:val="00804F37"/>
    <w:rsid w:val="00811A67"/>
    <w:rsid w:val="0083029A"/>
    <w:rsid w:val="00892019"/>
    <w:rsid w:val="00892C76"/>
    <w:rsid w:val="008C3159"/>
    <w:rsid w:val="008E0FCC"/>
    <w:rsid w:val="008F065A"/>
    <w:rsid w:val="0095236A"/>
    <w:rsid w:val="00956BC6"/>
    <w:rsid w:val="009742FD"/>
    <w:rsid w:val="00977742"/>
    <w:rsid w:val="00993BE5"/>
    <w:rsid w:val="009A1006"/>
    <w:rsid w:val="009B1EF6"/>
    <w:rsid w:val="009B5C82"/>
    <w:rsid w:val="009C72D1"/>
    <w:rsid w:val="009D318F"/>
    <w:rsid w:val="009D34F0"/>
    <w:rsid w:val="009D622C"/>
    <w:rsid w:val="009E77DA"/>
    <w:rsid w:val="009F7CF4"/>
    <w:rsid w:val="00A312EC"/>
    <w:rsid w:val="00A32BE9"/>
    <w:rsid w:val="00A40C78"/>
    <w:rsid w:val="00A46D0C"/>
    <w:rsid w:val="00A61A10"/>
    <w:rsid w:val="00A641FF"/>
    <w:rsid w:val="00A86D3D"/>
    <w:rsid w:val="00A967B6"/>
    <w:rsid w:val="00AA2D3A"/>
    <w:rsid w:val="00AA709E"/>
    <w:rsid w:val="00AF054B"/>
    <w:rsid w:val="00B149DF"/>
    <w:rsid w:val="00B27CA9"/>
    <w:rsid w:val="00B349FB"/>
    <w:rsid w:val="00B547BA"/>
    <w:rsid w:val="00B6559A"/>
    <w:rsid w:val="00B817C2"/>
    <w:rsid w:val="00BA2453"/>
    <w:rsid w:val="00BA4BD1"/>
    <w:rsid w:val="00BB4FB2"/>
    <w:rsid w:val="00BD44F5"/>
    <w:rsid w:val="00C217F1"/>
    <w:rsid w:val="00C22FEC"/>
    <w:rsid w:val="00C25491"/>
    <w:rsid w:val="00C318A3"/>
    <w:rsid w:val="00C32029"/>
    <w:rsid w:val="00C41DF2"/>
    <w:rsid w:val="00C52559"/>
    <w:rsid w:val="00C755D9"/>
    <w:rsid w:val="00CA0E47"/>
    <w:rsid w:val="00CC2A83"/>
    <w:rsid w:val="00D15F22"/>
    <w:rsid w:val="00D473D3"/>
    <w:rsid w:val="00D63B03"/>
    <w:rsid w:val="00D9012B"/>
    <w:rsid w:val="00DC6866"/>
    <w:rsid w:val="00DD63F3"/>
    <w:rsid w:val="00DE6F69"/>
    <w:rsid w:val="00DF35B5"/>
    <w:rsid w:val="00E002ED"/>
    <w:rsid w:val="00E00EAD"/>
    <w:rsid w:val="00E26A56"/>
    <w:rsid w:val="00E405F6"/>
    <w:rsid w:val="00E4615F"/>
    <w:rsid w:val="00E67420"/>
    <w:rsid w:val="00E85940"/>
    <w:rsid w:val="00E966AB"/>
    <w:rsid w:val="00EA081A"/>
    <w:rsid w:val="00EB1DB2"/>
    <w:rsid w:val="00EB34C3"/>
    <w:rsid w:val="00EE013E"/>
    <w:rsid w:val="00F04DB4"/>
    <w:rsid w:val="00F166EF"/>
    <w:rsid w:val="00F21946"/>
    <w:rsid w:val="00F25577"/>
    <w:rsid w:val="00F308D6"/>
    <w:rsid w:val="00F339D8"/>
    <w:rsid w:val="00F42809"/>
    <w:rsid w:val="00F437EE"/>
    <w:rsid w:val="00F84508"/>
    <w:rsid w:val="00F846FD"/>
    <w:rsid w:val="00F9433A"/>
    <w:rsid w:val="00FA1F83"/>
    <w:rsid w:val="00FA665E"/>
    <w:rsid w:val="00FB3876"/>
    <w:rsid w:val="00FB3CB6"/>
    <w:rsid w:val="00FD58A0"/>
    <w:rsid w:val="00FE0796"/>
    <w:rsid w:val="00FE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F2B25"/>
  <w15:chartTrackingRefBased/>
  <w15:docId w15:val="{1AE57DF2-2E73-0145-B315-3C74B5CD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4DB4"/>
    <w:pPr>
      <w:ind w:left="720"/>
      <w:contextualSpacing/>
    </w:pPr>
  </w:style>
  <w:style w:type="table" w:styleId="TableGrid">
    <w:name w:val="Table Grid"/>
    <w:basedOn w:val="TableNormal"/>
    <w:uiPriority w:val="39"/>
    <w:rsid w:val="00F16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35B5"/>
    <w:pPr>
      <w:tabs>
        <w:tab w:val="center" w:pos="4680"/>
        <w:tab w:val="right" w:pos="9360"/>
      </w:tabs>
    </w:pPr>
  </w:style>
  <w:style w:type="character" w:customStyle="1" w:styleId="FooterChar">
    <w:name w:val="Footer Char"/>
    <w:basedOn w:val="DefaultParagraphFont"/>
    <w:link w:val="Footer"/>
    <w:uiPriority w:val="99"/>
    <w:rsid w:val="00DF35B5"/>
  </w:style>
  <w:style w:type="character" w:styleId="PageNumber">
    <w:name w:val="page number"/>
    <w:basedOn w:val="DefaultParagraphFont"/>
    <w:uiPriority w:val="99"/>
    <w:semiHidden/>
    <w:unhideWhenUsed/>
    <w:rsid w:val="00DF35B5"/>
  </w:style>
  <w:style w:type="paragraph" w:styleId="NormalWeb">
    <w:name w:val="Normal (Web)"/>
    <w:basedOn w:val="Normal"/>
    <w:uiPriority w:val="99"/>
    <w:semiHidden/>
    <w:unhideWhenUsed/>
    <w:rsid w:val="009D34F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749CC"/>
    <w:pPr>
      <w:tabs>
        <w:tab w:val="center" w:pos="4680"/>
        <w:tab w:val="right" w:pos="9360"/>
      </w:tabs>
    </w:pPr>
  </w:style>
  <w:style w:type="character" w:customStyle="1" w:styleId="HeaderChar">
    <w:name w:val="Header Char"/>
    <w:basedOn w:val="DefaultParagraphFont"/>
    <w:link w:val="Header"/>
    <w:uiPriority w:val="99"/>
    <w:rsid w:val="003749CC"/>
  </w:style>
  <w:style w:type="character" w:customStyle="1" w:styleId="ListParagraphChar">
    <w:name w:val="List Paragraph Char"/>
    <w:link w:val="ListParagraph"/>
    <w:uiPriority w:val="34"/>
    <w:locked/>
    <w:rsid w:val="008F065A"/>
  </w:style>
  <w:style w:type="character" w:customStyle="1" w:styleId="apple-tab-span">
    <w:name w:val="apple-tab-span"/>
    <w:basedOn w:val="DefaultParagraphFont"/>
    <w:rsid w:val="00E40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912">
      <w:bodyDiv w:val="1"/>
      <w:marLeft w:val="0"/>
      <w:marRight w:val="0"/>
      <w:marTop w:val="0"/>
      <w:marBottom w:val="0"/>
      <w:divBdr>
        <w:top w:val="none" w:sz="0" w:space="0" w:color="auto"/>
        <w:left w:val="none" w:sz="0" w:space="0" w:color="auto"/>
        <w:bottom w:val="none" w:sz="0" w:space="0" w:color="auto"/>
        <w:right w:val="none" w:sz="0" w:space="0" w:color="auto"/>
      </w:divBdr>
    </w:div>
    <w:div w:id="53286592">
      <w:bodyDiv w:val="1"/>
      <w:marLeft w:val="0"/>
      <w:marRight w:val="0"/>
      <w:marTop w:val="0"/>
      <w:marBottom w:val="0"/>
      <w:divBdr>
        <w:top w:val="none" w:sz="0" w:space="0" w:color="auto"/>
        <w:left w:val="none" w:sz="0" w:space="0" w:color="auto"/>
        <w:bottom w:val="none" w:sz="0" w:space="0" w:color="auto"/>
        <w:right w:val="none" w:sz="0" w:space="0" w:color="auto"/>
      </w:divBdr>
    </w:div>
    <w:div w:id="62022089">
      <w:bodyDiv w:val="1"/>
      <w:marLeft w:val="0"/>
      <w:marRight w:val="0"/>
      <w:marTop w:val="0"/>
      <w:marBottom w:val="0"/>
      <w:divBdr>
        <w:top w:val="none" w:sz="0" w:space="0" w:color="auto"/>
        <w:left w:val="none" w:sz="0" w:space="0" w:color="auto"/>
        <w:bottom w:val="none" w:sz="0" w:space="0" w:color="auto"/>
        <w:right w:val="none" w:sz="0" w:space="0" w:color="auto"/>
      </w:divBdr>
    </w:div>
    <w:div w:id="110327433">
      <w:bodyDiv w:val="1"/>
      <w:marLeft w:val="0"/>
      <w:marRight w:val="0"/>
      <w:marTop w:val="0"/>
      <w:marBottom w:val="0"/>
      <w:divBdr>
        <w:top w:val="none" w:sz="0" w:space="0" w:color="auto"/>
        <w:left w:val="none" w:sz="0" w:space="0" w:color="auto"/>
        <w:bottom w:val="none" w:sz="0" w:space="0" w:color="auto"/>
        <w:right w:val="none" w:sz="0" w:space="0" w:color="auto"/>
      </w:divBdr>
    </w:div>
    <w:div w:id="141779653">
      <w:bodyDiv w:val="1"/>
      <w:marLeft w:val="0"/>
      <w:marRight w:val="0"/>
      <w:marTop w:val="0"/>
      <w:marBottom w:val="0"/>
      <w:divBdr>
        <w:top w:val="none" w:sz="0" w:space="0" w:color="auto"/>
        <w:left w:val="none" w:sz="0" w:space="0" w:color="auto"/>
        <w:bottom w:val="none" w:sz="0" w:space="0" w:color="auto"/>
        <w:right w:val="none" w:sz="0" w:space="0" w:color="auto"/>
      </w:divBdr>
    </w:div>
    <w:div w:id="252670517">
      <w:bodyDiv w:val="1"/>
      <w:marLeft w:val="0"/>
      <w:marRight w:val="0"/>
      <w:marTop w:val="0"/>
      <w:marBottom w:val="0"/>
      <w:divBdr>
        <w:top w:val="none" w:sz="0" w:space="0" w:color="auto"/>
        <w:left w:val="none" w:sz="0" w:space="0" w:color="auto"/>
        <w:bottom w:val="none" w:sz="0" w:space="0" w:color="auto"/>
        <w:right w:val="none" w:sz="0" w:space="0" w:color="auto"/>
      </w:divBdr>
    </w:div>
    <w:div w:id="267012357">
      <w:bodyDiv w:val="1"/>
      <w:marLeft w:val="0"/>
      <w:marRight w:val="0"/>
      <w:marTop w:val="0"/>
      <w:marBottom w:val="0"/>
      <w:divBdr>
        <w:top w:val="none" w:sz="0" w:space="0" w:color="auto"/>
        <w:left w:val="none" w:sz="0" w:space="0" w:color="auto"/>
        <w:bottom w:val="none" w:sz="0" w:space="0" w:color="auto"/>
        <w:right w:val="none" w:sz="0" w:space="0" w:color="auto"/>
      </w:divBdr>
      <w:divsChild>
        <w:div w:id="845899806">
          <w:marLeft w:val="360"/>
          <w:marRight w:val="0"/>
          <w:marTop w:val="120"/>
          <w:marBottom w:val="120"/>
          <w:divBdr>
            <w:top w:val="none" w:sz="0" w:space="0" w:color="auto"/>
            <w:left w:val="none" w:sz="0" w:space="0" w:color="auto"/>
            <w:bottom w:val="none" w:sz="0" w:space="0" w:color="auto"/>
            <w:right w:val="none" w:sz="0" w:space="0" w:color="auto"/>
          </w:divBdr>
        </w:div>
        <w:div w:id="1835682224">
          <w:marLeft w:val="360"/>
          <w:marRight w:val="0"/>
          <w:marTop w:val="120"/>
          <w:marBottom w:val="120"/>
          <w:divBdr>
            <w:top w:val="none" w:sz="0" w:space="0" w:color="auto"/>
            <w:left w:val="none" w:sz="0" w:space="0" w:color="auto"/>
            <w:bottom w:val="none" w:sz="0" w:space="0" w:color="auto"/>
            <w:right w:val="none" w:sz="0" w:space="0" w:color="auto"/>
          </w:divBdr>
        </w:div>
      </w:divsChild>
    </w:div>
    <w:div w:id="287124414">
      <w:bodyDiv w:val="1"/>
      <w:marLeft w:val="0"/>
      <w:marRight w:val="0"/>
      <w:marTop w:val="0"/>
      <w:marBottom w:val="0"/>
      <w:divBdr>
        <w:top w:val="none" w:sz="0" w:space="0" w:color="auto"/>
        <w:left w:val="none" w:sz="0" w:space="0" w:color="auto"/>
        <w:bottom w:val="none" w:sz="0" w:space="0" w:color="auto"/>
        <w:right w:val="none" w:sz="0" w:space="0" w:color="auto"/>
      </w:divBdr>
    </w:div>
    <w:div w:id="349142566">
      <w:bodyDiv w:val="1"/>
      <w:marLeft w:val="0"/>
      <w:marRight w:val="0"/>
      <w:marTop w:val="0"/>
      <w:marBottom w:val="0"/>
      <w:divBdr>
        <w:top w:val="none" w:sz="0" w:space="0" w:color="auto"/>
        <w:left w:val="none" w:sz="0" w:space="0" w:color="auto"/>
        <w:bottom w:val="none" w:sz="0" w:space="0" w:color="auto"/>
        <w:right w:val="none" w:sz="0" w:space="0" w:color="auto"/>
      </w:divBdr>
    </w:div>
    <w:div w:id="367145882">
      <w:bodyDiv w:val="1"/>
      <w:marLeft w:val="0"/>
      <w:marRight w:val="0"/>
      <w:marTop w:val="0"/>
      <w:marBottom w:val="0"/>
      <w:divBdr>
        <w:top w:val="none" w:sz="0" w:space="0" w:color="auto"/>
        <w:left w:val="none" w:sz="0" w:space="0" w:color="auto"/>
        <w:bottom w:val="none" w:sz="0" w:space="0" w:color="auto"/>
        <w:right w:val="none" w:sz="0" w:space="0" w:color="auto"/>
      </w:divBdr>
    </w:div>
    <w:div w:id="370956070">
      <w:bodyDiv w:val="1"/>
      <w:marLeft w:val="0"/>
      <w:marRight w:val="0"/>
      <w:marTop w:val="0"/>
      <w:marBottom w:val="0"/>
      <w:divBdr>
        <w:top w:val="none" w:sz="0" w:space="0" w:color="auto"/>
        <w:left w:val="none" w:sz="0" w:space="0" w:color="auto"/>
        <w:bottom w:val="none" w:sz="0" w:space="0" w:color="auto"/>
        <w:right w:val="none" w:sz="0" w:space="0" w:color="auto"/>
      </w:divBdr>
      <w:divsChild>
        <w:div w:id="189300572">
          <w:marLeft w:val="547"/>
          <w:marRight w:val="0"/>
          <w:marTop w:val="0"/>
          <w:marBottom w:val="320"/>
          <w:divBdr>
            <w:top w:val="none" w:sz="0" w:space="0" w:color="auto"/>
            <w:left w:val="none" w:sz="0" w:space="0" w:color="auto"/>
            <w:bottom w:val="none" w:sz="0" w:space="0" w:color="auto"/>
            <w:right w:val="none" w:sz="0" w:space="0" w:color="auto"/>
          </w:divBdr>
        </w:div>
      </w:divsChild>
    </w:div>
    <w:div w:id="390078099">
      <w:bodyDiv w:val="1"/>
      <w:marLeft w:val="0"/>
      <w:marRight w:val="0"/>
      <w:marTop w:val="0"/>
      <w:marBottom w:val="0"/>
      <w:divBdr>
        <w:top w:val="none" w:sz="0" w:space="0" w:color="auto"/>
        <w:left w:val="none" w:sz="0" w:space="0" w:color="auto"/>
        <w:bottom w:val="none" w:sz="0" w:space="0" w:color="auto"/>
        <w:right w:val="none" w:sz="0" w:space="0" w:color="auto"/>
      </w:divBdr>
    </w:div>
    <w:div w:id="440416488">
      <w:bodyDiv w:val="1"/>
      <w:marLeft w:val="0"/>
      <w:marRight w:val="0"/>
      <w:marTop w:val="0"/>
      <w:marBottom w:val="0"/>
      <w:divBdr>
        <w:top w:val="none" w:sz="0" w:space="0" w:color="auto"/>
        <w:left w:val="none" w:sz="0" w:space="0" w:color="auto"/>
        <w:bottom w:val="none" w:sz="0" w:space="0" w:color="auto"/>
        <w:right w:val="none" w:sz="0" w:space="0" w:color="auto"/>
      </w:divBdr>
    </w:div>
    <w:div w:id="569971771">
      <w:bodyDiv w:val="1"/>
      <w:marLeft w:val="0"/>
      <w:marRight w:val="0"/>
      <w:marTop w:val="0"/>
      <w:marBottom w:val="0"/>
      <w:divBdr>
        <w:top w:val="none" w:sz="0" w:space="0" w:color="auto"/>
        <w:left w:val="none" w:sz="0" w:space="0" w:color="auto"/>
        <w:bottom w:val="none" w:sz="0" w:space="0" w:color="auto"/>
        <w:right w:val="none" w:sz="0" w:space="0" w:color="auto"/>
      </w:divBdr>
      <w:divsChild>
        <w:div w:id="1292440951">
          <w:marLeft w:val="547"/>
          <w:marRight w:val="0"/>
          <w:marTop w:val="0"/>
          <w:marBottom w:val="320"/>
          <w:divBdr>
            <w:top w:val="none" w:sz="0" w:space="0" w:color="auto"/>
            <w:left w:val="none" w:sz="0" w:space="0" w:color="auto"/>
            <w:bottom w:val="none" w:sz="0" w:space="0" w:color="auto"/>
            <w:right w:val="none" w:sz="0" w:space="0" w:color="auto"/>
          </w:divBdr>
        </w:div>
        <w:div w:id="1204899796">
          <w:marLeft w:val="547"/>
          <w:marRight w:val="0"/>
          <w:marTop w:val="0"/>
          <w:marBottom w:val="320"/>
          <w:divBdr>
            <w:top w:val="none" w:sz="0" w:space="0" w:color="auto"/>
            <w:left w:val="none" w:sz="0" w:space="0" w:color="auto"/>
            <w:bottom w:val="none" w:sz="0" w:space="0" w:color="auto"/>
            <w:right w:val="none" w:sz="0" w:space="0" w:color="auto"/>
          </w:divBdr>
        </w:div>
      </w:divsChild>
    </w:div>
    <w:div w:id="576206258">
      <w:bodyDiv w:val="1"/>
      <w:marLeft w:val="0"/>
      <w:marRight w:val="0"/>
      <w:marTop w:val="0"/>
      <w:marBottom w:val="0"/>
      <w:divBdr>
        <w:top w:val="none" w:sz="0" w:space="0" w:color="auto"/>
        <w:left w:val="none" w:sz="0" w:space="0" w:color="auto"/>
        <w:bottom w:val="none" w:sz="0" w:space="0" w:color="auto"/>
        <w:right w:val="none" w:sz="0" w:space="0" w:color="auto"/>
      </w:divBdr>
    </w:div>
    <w:div w:id="589001298">
      <w:bodyDiv w:val="1"/>
      <w:marLeft w:val="0"/>
      <w:marRight w:val="0"/>
      <w:marTop w:val="0"/>
      <w:marBottom w:val="0"/>
      <w:divBdr>
        <w:top w:val="none" w:sz="0" w:space="0" w:color="auto"/>
        <w:left w:val="none" w:sz="0" w:space="0" w:color="auto"/>
        <w:bottom w:val="none" w:sz="0" w:space="0" w:color="auto"/>
        <w:right w:val="none" w:sz="0" w:space="0" w:color="auto"/>
      </w:divBdr>
      <w:divsChild>
        <w:div w:id="1867478583">
          <w:marLeft w:val="360"/>
          <w:marRight w:val="0"/>
          <w:marTop w:val="120"/>
          <w:marBottom w:val="120"/>
          <w:divBdr>
            <w:top w:val="none" w:sz="0" w:space="0" w:color="auto"/>
            <w:left w:val="none" w:sz="0" w:space="0" w:color="auto"/>
            <w:bottom w:val="none" w:sz="0" w:space="0" w:color="auto"/>
            <w:right w:val="none" w:sz="0" w:space="0" w:color="auto"/>
          </w:divBdr>
        </w:div>
        <w:div w:id="1600406358">
          <w:marLeft w:val="1080"/>
          <w:marRight w:val="0"/>
          <w:marTop w:val="120"/>
          <w:marBottom w:val="120"/>
          <w:divBdr>
            <w:top w:val="none" w:sz="0" w:space="0" w:color="auto"/>
            <w:left w:val="none" w:sz="0" w:space="0" w:color="auto"/>
            <w:bottom w:val="none" w:sz="0" w:space="0" w:color="auto"/>
            <w:right w:val="none" w:sz="0" w:space="0" w:color="auto"/>
          </w:divBdr>
        </w:div>
        <w:div w:id="1779837886">
          <w:marLeft w:val="1080"/>
          <w:marRight w:val="0"/>
          <w:marTop w:val="120"/>
          <w:marBottom w:val="120"/>
          <w:divBdr>
            <w:top w:val="none" w:sz="0" w:space="0" w:color="auto"/>
            <w:left w:val="none" w:sz="0" w:space="0" w:color="auto"/>
            <w:bottom w:val="none" w:sz="0" w:space="0" w:color="auto"/>
            <w:right w:val="none" w:sz="0" w:space="0" w:color="auto"/>
          </w:divBdr>
        </w:div>
        <w:div w:id="1243687002">
          <w:marLeft w:val="360"/>
          <w:marRight w:val="0"/>
          <w:marTop w:val="120"/>
          <w:marBottom w:val="120"/>
          <w:divBdr>
            <w:top w:val="none" w:sz="0" w:space="0" w:color="auto"/>
            <w:left w:val="none" w:sz="0" w:space="0" w:color="auto"/>
            <w:bottom w:val="none" w:sz="0" w:space="0" w:color="auto"/>
            <w:right w:val="none" w:sz="0" w:space="0" w:color="auto"/>
          </w:divBdr>
        </w:div>
      </w:divsChild>
    </w:div>
    <w:div w:id="726950618">
      <w:bodyDiv w:val="1"/>
      <w:marLeft w:val="0"/>
      <w:marRight w:val="0"/>
      <w:marTop w:val="0"/>
      <w:marBottom w:val="0"/>
      <w:divBdr>
        <w:top w:val="none" w:sz="0" w:space="0" w:color="auto"/>
        <w:left w:val="none" w:sz="0" w:space="0" w:color="auto"/>
        <w:bottom w:val="none" w:sz="0" w:space="0" w:color="auto"/>
        <w:right w:val="none" w:sz="0" w:space="0" w:color="auto"/>
      </w:divBdr>
    </w:div>
    <w:div w:id="784932705">
      <w:bodyDiv w:val="1"/>
      <w:marLeft w:val="0"/>
      <w:marRight w:val="0"/>
      <w:marTop w:val="0"/>
      <w:marBottom w:val="0"/>
      <w:divBdr>
        <w:top w:val="none" w:sz="0" w:space="0" w:color="auto"/>
        <w:left w:val="none" w:sz="0" w:space="0" w:color="auto"/>
        <w:bottom w:val="none" w:sz="0" w:space="0" w:color="auto"/>
        <w:right w:val="none" w:sz="0" w:space="0" w:color="auto"/>
      </w:divBdr>
    </w:div>
    <w:div w:id="833686974">
      <w:bodyDiv w:val="1"/>
      <w:marLeft w:val="0"/>
      <w:marRight w:val="0"/>
      <w:marTop w:val="0"/>
      <w:marBottom w:val="0"/>
      <w:divBdr>
        <w:top w:val="none" w:sz="0" w:space="0" w:color="auto"/>
        <w:left w:val="none" w:sz="0" w:space="0" w:color="auto"/>
        <w:bottom w:val="none" w:sz="0" w:space="0" w:color="auto"/>
        <w:right w:val="none" w:sz="0" w:space="0" w:color="auto"/>
      </w:divBdr>
    </w:div>
    <w:div w:id="922572659">
      <w:bodyDiv w:val="1"/>
      <w:marLeft w:val="0"/>
      <w:marRight w:val="0"/>
      <w:marTop w:val="0"/>
      <w:marBottom w:val="0"/>
      <w:divBdr>
        <w:top w:val="none" w:sz="0" w:space="0" w:color="auto"/>
        <w:left w:val="none" w:sz="0" w:space="0" w:color="auto"/>
        <w:bottom w:val="none" w:sz="0" w:space="0" w:color="auto"/>
        <w:right w:val="none" w:sz="0" w:space="0" w:color="auto"/>
      </w:divBdr>
      <w:divsChild>
        <w:div w:id="1755975765">
          <w:marLeft w:val="360"/>
          <w:marRight w:val="0"/>
          <w:marTop w:val="120"/>
          <w:marBottom w:val="120"/>
          <w:divBdr>
            <w:top w:val="none" w:sz="0" w:space="0" w:color="auto"/>
            <w:left w:val="none" w:sz="0" w:space="0" w:color="auto"/>
            <w:bottom w:val="none" w:sz="0" w:space="0" w:color="auto"/>
            <w:right w:val="none" w:sz="0" w:space="0" w:color="auto"/>
          </w:divBdr>
        </w:div>
        <w:div w:id="1355882960">
          <w:marLeft w:val="1080"/>
          <w:marRight w:val="0"/>
          <w:marTop w:val="120"/>
          <w:marBottom w:val="120"/>
          <w:divBdr>
            <w:top w:val="none" w:sz="0" w:space="0" w:color="auto"/>
            <w:left w:val="none" w:sz="0" w:space="0" w:color="auto"/>
            <w:bottom w:val="none" w:sz="0" w:space="0" w:color="auto"/>
            <w:right w:val="none" w:sz="0" w:space="0" w:color="auto"/>
          </w:divBdr>
        </w:div>
        <w:div w:id="1011949676">
          <w:marLeft w:val="1080"/>
          <w:marRight w:val="0"/>
          <w:marTop w:val="120"/>
          <w:marBottom w:val="120"/>
          <w:divBdr>
            <w:top w:val="none" w:sz="0" w:space="0" w:color="auto"/>
            <w:left w:val="none" w:sz="0" w:space="0" w:color="auto"/>
            <w:bottom w:val="none" w:sz="0" w:space="0" w:color="auto"/>
            <w:right w:val="none" w:sz="0" w:space="0" w:color="auto"/>
          </w:divBdr>
        </w:div>
        <w:div w:id="519664530">
          <w:marLeft w:val="1080"/>
          <w:marRight w:val="0"/>
          <w:marTop w:val="120"/>
          <w:marBottom w:val="120"/>
          <w:divBdr>
            <w:top w:val="none" w:sz="0" w:space="0" w:color="auto"/>
            <w:left w:val="none" w:sz="0" w:space="0" w:color="auto"/>
            <w:bottom w:val="none" w:sz="0" w:space="0" w:color="auto"/>
            <w:right w:val="none" w:sz="0" w:space="0" w:color="auto"/>
          </w:divBdr>
        </w:div>
        <w:div w:id="733509474">
          <w:marLeft w:val="360"/>
          <w:marRight w:val="0"/>
          <w:marTop w:val="120"/>
          <w:marBottom w:val="120"/>
          <w:divBdr>
            <w:top w:val="none" w:sz="0" w:space="0" w:color="auto"/>
            <w:left w:val="none" w:sz="0" w:space="0" w:color="auto"/>
            <w:bottom w:val="none" w:sz="0" w:space="0" w:color="auto"/>
            <w:right w:val="none" w:sz="0" w:space="0" w:color="auto"/>
          </w:divBdr>
        </w:div>
        <w:div w:id="1502240551">
          <w:marLeft w:val="1080"/>
          <w:marRight w:val="0"/>
          <w:marTop w:val="120"/>
          <w:marBottom w:val="120"/>
          <w:divBdr>
            <w:top w:val="none" w:sz="0" w:space="0" w:color="auto"/>
            <w:left w:val="none" w:sz="0" w:space="0" w:color="auto"/>
            <w:bottom w:val="none" w:sz="0" w:space="0" w:color="auto"/>
            <w:right w:val="none" w:sz="0" w:space="0" w:color="auto"/>
          </w:divBdr>
        </w:div>
        <w:div w:id="504638305">
          <w:marLeft w:val="1080"/>
          <w:marRight w:val="0"/>
          <w:marTop w:val="120"/>
          <w:marBottom w:val="120"/>
          <w:divBdr>
            <w:top w:val="none" w:sz="0" w:space="0" w:color="auto"/>
            <w:left w:val="none" w:sz="0" w:space="0" w:color="auto"/>
            <w:bottom w:val="none" w:sz="0" w:space="0" w:color="auto"/>
            <w:right w:val="none" w:sz="0" w:space="0" w:color="auto"/>
          </w:divBdr>
        </w:div>
        <w:div w:id="174152636">
          <w:marLeft w:val="1080"/>
          <w:marRight w:val="0"/>
          <w:marTop w:val="120"/>
          <w:marBottom w:val="120"/>
          <w:divBdr>
            <w:top w:val="none" w:sz="0" w:space="0" w:color="auto"/>
            <w:left w:val="none" w:sz="0" w:space="0" w:color="auto"/>
            <w:bottom w:val="none" w:sz="0" w:space="0" w:color="auto"/>
            <w:right w:val="none" w:sz="0" w:space="0" w:color="auto"/>
          </w:divBdr>
        </w:div>
        <w:div w:id="372342259">
          <w:marLeft w:val="360"/>
          <w:marRight w:val="0"/>
          <w:marTop w:val="120"/>
          <w:marBottom w:val="120"/>
          <w:divBdr>
            <w:top w:val="none" w:sz="0" w:space="0" w:color="auto"/>
            <w:left w:val="none" w:sz="0" w:space="0" w:color="auto"/>
            <w:bottom w:val="none" w:sz="0" w:space="0" w:color="auto"/>
            <w:right w:val="none" w:sz="0" w:space="0" w:color="auto"/>
          </w:divBdr>
        </w:div>
        <w:div w:id="1958363839">
          <w:marLeft w:val="1080"/>
          <w:marRight w:val="0"/>
          <w:marTop w:val="120"/>
          <w:marBottom w:val="120"/>
          <w:divBdr>
            <w:top w:val="none" w:sz="0" w:space="0" w:color="auto"/>
            <w:left w:val="none" w:sz="0" w:space="0" w:color="auto"/>
            <w:bottom w:val="none" w:sz="0" w:space="0" w:color="auto"/>
            <w:right w:val="none" w:sz="0" w:space="0" w:color="auto"/>
          </w:divBdr>
        </w:div>
      </w:divsChild>
    </w:div>
    <w:div w:id="948316201">
      <w:bodyDiv w:val="1"/>
      <w:marLeft w:val="0"/>
      <w:marRight w:val="0"/>
      <w:marTop w:val="0"/>
      <w:marBottom w:val="0"/>
      <w:divBdr>
        <w:top w:val="none" w:sz="0" w:space="0" w:color="auto"/>
        <w:left w:val="none" w:sz="0" w:space="0" w:color="auto"/>
        <w:bottom w:val="none" w:sz="0" w:space="0" w:color="auto"/>
        <w:right w:val="none" w:sz="0" w:space="0" w:color="auto"/>
      </w:divBdr>
    </w:div>
    <w:div w:id="983116856">
      <w:bodyDiv w:val="1"/>
      <w:marLeft w:val="0"/>
      <w:marRight w:val="0"/>
      <w:marTop w:val="0"/>
      <w:marBottom w:val="0"/>
      <w:divBdr>
        <w:top w:val="none" w:sz="0" w:space="0" w:color="auto"/>
        <w:left w:val="none" w:sz="0" w:space="0" w:color="auto"/>
        <w:bottom w:val="none" w:sz="0" w:space="0" w:color="auto"/>
        <w:right w:val="none" w:sz="0" w:space="0" w:color="auto"/>
      </w:divBdr>
    </w:div>
    <w:div w:id="991787970">
      <w:bodyDiv w:val="1"/>
      <w:marLeft w:val="0"/>
      <w:marRight w:val="0"/>
      <w:marTop w:val="0"/>
      <w:marBottom w:val="0"/>
      <w:divBdr>
        <w:top w:val="none" w:sz="0" w:space="0" w:color="auto"/>
        <w:left w:val="none" w:sz="0" w:space="0" w:color="auto"/>
        <w:bottom w:val="none" w:sz="0" w:space="0" w:color="auto"/>
        <w:right w:val="none" w:sz="0" w:space="0" w:color="auto"/>
      </w:divBdr>
      <w:divsChild>
        <w:div w:id="1690180699">
          <w:marLeft w:val="547"/>
          <w:marRight w:val="0"/>
          <w:marTop w:val="0"/>
          <w:marBottom w:val="320"/>
          <w:divBdr>
            <w:top w:val="none" w:sz="0" w:space="0" w:color="auto"/>
            <w:left w:val="none" w:sz="0" w:space="0" w:color="auto"/>
            <w:bottom w:val="none" w:sz="0" w:space="0" w:color="auto"/>
            <w:right w:val="none" w:sz="0" w:space="0" w:color="auto"/>
          </w:divBdr>
        </w:div>
        <w:div w:id="2011329792">
          <w:marLeft w:val="547"/>
          <w:marRight w:val="0"/>
          <w:marTop w:val="0"/>
          <w:marBottom w:val="320"/>
          <w:divBdr>
            <w:top w:val="none" w:sz="0" w:space="0" w:color="auto"/>
            <w:left w:val="none" w:sz="0" w:space="0" w:color="auto"/>
            <w:bottom w:val="none" w:sz="0" w:space="0" w:color="auto"/>
            <w:right w:val="none" w:sz="0" w:space="0" w:color="auto"/>
          </w:divBdr>
        </w:div>
        <w:div w:id="1039474580">
          <w:marLeft w:val="547"/>
          <w:marRight w:val="0"/>
          <w:marTop w:val="0"/>
          <w:marBottom w:val="320"/>
          <w:divBdr>
            <w:top w:val="none" w:sz="0" w:space="0" w:color="auto"/>
            <w:left w:val="none" w:sz="0" w:space="0" w:color="auto"/>
            <w:bottom w:val="none" w:sz="0" w:space="0" w:color="auto"/>
            <w:right w:val="none" w:sz="0" w:space="0" w:color="auto"/>
          </w:divBdr>
        </w:div>
        <w:div w:id="2074697015">
          <w:marLeft w:val="547"/>
          <w:marRight w:val="0"/>
          <w:marTop w:val="0"/>
          <w:marBottom w:val="320"/>
          <w:divBdr>
            <w:top w:val="none" w:sz="0" w:space="0" w:color="auto"/>
            <w:left w:val="none" w:sz="0" w:space="0" w:color="auto"/>
            <w:bottom w:val="none" w:sz="0" w:space="0" w:color="auto"/>
            <w:right w:val="none" w:sz="0" w:space="0" w:color="auto"/>
          </w:divBdr>
        </w:div>
      </w:divsChild>
    </w:div>
    <w:div w:id="1151946482">
      <w:bodyDiv w:val="1"/>
      <w:marLeft w:val="0"/>
      <w:marRight w:val="0"/>
      <w:marTop w:val="0"/>
      <w:marBottom w:val="0"/>
      <w:divBdr>
        <w:top w:val="none" w:sz="0" w:space="0" w:color="auto"/>
        <w:left w:val="none" w:sz="0" w:space="0" w:color="auto"/>
        <w:bottom w:val="none" w:sz="0" w:space="0" w:color="auto"/>
        <w:right w:val="none" w:sz="0" w:space="0" w:color="auto"/>
      </w:divBdr>
      <w:divsChild>
        <w:div w:id="1901789422">
          <w:marLeft w:val="547"/>
          <w:marRight w:val="0"/>
          <w:marTop w:val="0"/>
          <w:marBottom w:val="320"/>
          <w:divBdr>
            <w:top w:val="none" w:sz="0" w:space="0" w:color="auto"/>
            <w:left w:val="none" w:sz="0" w:space="0" w:color="auto"/>
            <w:bottom w:val="none" w:sz="0" w:space="0" w:color="auto"/>
            <w:right w:val="none" w:sz="0" w:space="0" w:color="auto"/>
          </w:divBdr>
        </w:div>
        <w:div w:id="236789017">
          <w:marLeft w:val="547"/>
          <w:marRight w:val="0"/>
          <w:marTop w:val="0"/>
          <w:marBottom w:val="320"/>
          <w:divBdr>
            <w:top w:val="none" w:sz="0" w:space="0" w:color="auto"/>
            <w:left w:val="none" w:sz="0" w:space="0" w:color="auto"/>
            <w:bottom w:val="none" w:sz="0" w:space="0" w:color="auto"/>
            <w:right w:val="none" w:sz="0" w:space="0" w:color="auto"/>
          </w:divBdr>
        </w:div>
        <w:div w:id="85082262">
          <w:marLeft w:val="547"/>
          <w:marRight w:val="0"/>
          <w:marTop w:val="0"/>
          <w:marBottom w:val="320"/>
          <w:divBdr>
            <w:top w:val="none" w:sz="0" w:space="0" w:color="auto"/>
            <w:left w:val="none" w:sz="0" w:space="0" w:color="auto"/>
            <w:bottom w:val="none" w:sz="0" w:space="0" w:color="auto"/>
            <w:right w:val="none" w:sz="0" w:space="0" w:color="auto"/>
          </w:divBdr>
        </w:div>
      </w:divsChild>
    </w:div>
    <w:div w:id="1176506302">
      <w:bodyDiv w:val="1"/>
      <w:marLeft w:val="0"/>
      <w:marRight w:val="0"/>
      <w:marTop w:val="0"/>
      <w:marBottom w:val="0"/>
      <w:divBdr>
        <w:top w:val="none" w:sz="0" w:space="0" w:color="auto"/>
        <w:left w:val="none" w:sz="0" w:space="0" w:color="auto"/>
        <w:bottom w:val="none" w:sz="0" w:space="0" w:color="auto"/>
        <w:right w:val="none" w:sz="0" w:space="0" w:color="auto"/>
      </w:divBdr>
    </w:div>
    <w:div w:id="1214389377">
      <w:bodyDiv w:val="1"/>
      <w:marLeft w:val="0"/>
      <w:marRight w:val="0"/>
      <w:marTop w:val="0"/>
      <w:marBottom w:val="0"/>
      <w:divBdr>
        <w:top w:val="none" w:sz="0" w:space="0" w:color="auto"/>
        <w:left w:val="none" w:sz="0" w:space="0" w:color="auto"/>
        <w:bottom w:val="none" w:sz="0" w:space="0" w:color="auto"/>
        <w:right w:val="none" w:sz="0" w:space="0" w:color="auto"/>
      </w:divBdr>
    </w:div>
    <w:div w:id="1218008894">
      <w:bodyDiv w:val="1"/>
      <w:marLeft w:val="0"/>
      <w:marRight w:val="0"/>
      <w:marTop w:val="0"/>
      <w:marBottom w:val="0"/>
      <w:divBdr>
        <w:top w:val="none" w:sz="0" w:space="0" w:color="auto"/>
        <w:left w:val="none" w:sz="0" w:space="0" w:color="auto"/>
        <w:bottom w:val="none" w:sz="0" w:space="0" w:color="auto"/>
        <w:right w:val="none" w:sz="0" w:space="0" w:color="auto"/>
      </w:divBdr>
    </w:div>
    <w:div w:id="1341851256">
      <w:bodyDiv w:val="1"/>
      <w:marLeft w:val="0"/>
      <w:marRight w:val="0"/>
      <w:marTop w:val="0"/>
      <w:marBottom w:val="0"/>
      <w:divBdr>
        <w:top w:val="none" w:sz="0" w:space="0" w:color="auto"/>
        <w:left w:val="none" w:sz="0" w:space="0" w:color="auto"/>
        <w:bottom w:val="none" w:sz="0" w:space="0" w:color="auto"/>
        <w:right w:val="none" w:sz="0" w:space="0" w:color="auto"/>
      </w:divBdr>
      <w:divsChild>
        <w:div w:id="2049525390">
          <w:marLeft w:val="547"/>
          <w:marRight w:val="0"/>
          <w:marTop w:val="0"/>
          <w:marBottom w:val="120"/>
          <w:divBdr>
            <w:top w:val="none" w:sz="0" w:space="0" w:color="auto"/>
            <w:left w:val="none" w:sz="0" w:space="0" w:color="auto"/>
            <w:bottom w:val="none" w:sz="0" w:space="0" w:color="auto"/>
            <w:right w:val="none" w:sz="0" w:space="0" w:color="auto"/>
          </w:divBdr>
        </w:div>
        <w:div w:id="2118256133">
          <w:marLeft w:val="547"/>
          <w:marRight w:val="0"/>
          <w:marTop w:val="0"/>
          <w:marBottom w:val="120"/>
          <w:divBdr>
            <w:top w:val="none" w:sz="0" w:space="0" w:color="auto"/>
            <w:left w:val="none" w:sz="0" w:space="0" w:color="auto"/>
            <w:bottom w:val="none" w:sz="0" w:space="0" w:color="auto"/>
            <w:right w:val="none" w:sz="0" w:space="0" w:color="auto"/>
          </w:divBdr>
        </w:div>
        <w:div w:id="1631745248">
          <w:marLeft w:val="547"/>
          <w:marRight w:val="0"/>
          <w:marTop w:val="0"/>
          <w:marBottom w:val="120"/>
          <w:divBdr>
            <w:top w:val="none" w:sz="0" w:space="0" w:color="auto"/>
            <w:left w:val="none" w:sz="0" w:space="0" w:color="auto"/>
            <w:bottom w:val="none" w:sz="0" w:space="0" w:color="auto"/>
            <w:right w:val="none" w:sz="0" w:space="0" w:color="auto"/>
          </w:divBdr>
        </w:div>
        <w:div w:id="1763067864">
          <w:marLeft w:val="547"/>
          <w:marRight w:val="0"/>
          <w:marTop w:val="0"/>
          <w:marBottom w:val="120"/>
          <w:divBdr>
            <w:top w:val="none" w:sz="0" w:space="0" w:color="auto"/>
            <w:left w:val="none" w:sz="0" w:space="0" w:color="auto"/>
            <w:bottom w:val="none" w:sz="0" w:space="0" w:color="auto"/>
            <w:right w:val="none" w:sz="0" w:space="0" w:color="auto"/>
          </w:divBdr>
        </w:div>
      </w:divsChild>
    </w:div>
    <w:div w:id="1399398254">
      <w:bodyDiv w:val="1"/>
      <w:marLeft w:val="0"/>
      <w:marRight w:val="0"/>
      <w:marTop w:val="0"/>
      <w:marBottom w:val="0"/>
      <w:divBdr>
        <w:top w:val="none" w:sz="0" w:space="0" w:color="auto"/>
        <w:left w:val="none" w:sz="0" w:space="0" w:color="auto"/>
        <w:bottom w:val="none" w:sz="0" w:space="0" w:color="auto"/>
        <w:right w:val="none" w:sz="0" w:space="0" w:color="auto"/>
      </w:divBdr>
      <w:divsChild>
        <w:div w:id="1631783755">
          <w:marLeft w:val="360"/>
          <w:marRight w:val="0"/>
          <w:marTop w:val="120"/>
          <w:marBottom w:val="120"/>
          <w:divBdr>
            <w:top w:val="none" w:sz="0" w:space="0" w:color="auto"/>
            <w:left w:val="none" w:sz="0" w:space="0" w:color="auto"/>
            <w:bottom w:val="none" w:sz="0" w:space="0" w:color="auto"/>
            <w:right w:val="none" w:sz="0" w:space="0" w:color="auto"/>
          </w:divBdr>
        </w:div>
        <w:div w:id="1555891747">
          <w:marLeft w:val="1080"/>
          <w:marRight w:val="0"/>
          <w:marTop w:val="120"/>
          <w:marBottom w:val="120"/>
          <w:divBdr>
            <w:top w:val="none" w:sz="0" w:space="0" w:color="auto"/>
            <w:left w:val="none" w:sz="0" w:space="0" w:color="auto"/>
            <w:bottom w:val="none" w:sz="0" w:space="0" w:color="auto"/>
            <w:right w:val="none" w:sz="0" w:space="0" w:color="auto"/>
          </w:divBdr>
        </w:div>
        <w:div w:id="186867376">
          <w:marLeft w:val="1080"/>
          <w:marRight w:val="0"/>
          <w:marTop w:val="120"/>
          <w:marBottom w:val="120"/>
          <w:divBdr>
            <w:top w:val="none" w:sz="0" w:space="0" w:color="auto"/>
            <w:left w:val="none" w:sz="0" w:space="0" w:color="auto"/>
            <w:bottom w:val="none" w:sz="0" w:space="0" w:color="auto"/>
            <w:right w:val="none" w:sz="0" w:space="0" w:color="auto"/>
          </w:divBdr>
        </w:div>
        <w:div w:id="1713118166">
          <w:marLeft w:val="360"/>
          <w:marRight w:val="0"/>
          <w:marTop w:val="120"/>
          <w:marBottom w:val="120"/>
          <w:divBdr>
            <w:top w:val="none" w:sz="0" w:space="0" w:color="auto"/>
            <w:left w:val="none" w:sz="0" w:space="0" w:color="auto"/>
            <w:bottom w:val="none" w:sz="0" w:space="0" w:color="auto"/>
            <w:right w:val="none" w:sz="0" w:space="0" w:color="auto"/>
          </w:divBdr>
        </w:div>
        <w:div w:id="775831878">
          <w:marLeft w:val="1080"/>
          <w:marRight w:val="0"/>
          <w:marTop w:val="120"/>
          <w:marBottom w:val="120"/>
          <w:divBdr>
            <w:top w:val="none" w:sz="0" w:space="0" w:color="auto"/>
            <w:left w:val="none" w:sz="0" w:space="0" w:color="auto"/>
            <w:bottom w:val="none" w:sz="0" w:space="0" w:color="auto"/>
            <w:right w:val="none" w:sz="0" w:space="0" w:color="auto"/>
          </w:divBdr>
        </w:div>
        <w:div w:id="1663124897">
          <w:marLeft w:val="1080"/>
          <w:marRight w:val="0"/>
          <w:marTop w:val="120"/>
          <w:marBottom w:val="120"/>
          <w:divBdr>
            <w:top w:val="none" w:sz="0" w:space="0" w:color="auto"/>
            <w:left w:val="none" w:sz="0" w:space="0" w:color="auto"/>
            <w:bottom w:val="none" w:sz="0" w:space="0" w:color="auto"/>
            <w:right w:val="none" w:sz="0" w:space="0" w:color="auto"/>
          </w:divBdr>
        </w:div>
      </w:divsChild>
    </w:div>
    <w:div w:id="1426271055">
      <w:bodyDiv w:val="1"/>
      <w:marLeft w:val="0"/>
      <w:marRight w:val="0"/>
      <w:marTop w:val="0"/>
      <w:marBottom w:val="0"/>
      <w:divBdr>
        <w:top w:val="none" w:sz="0" w:space="0" w:color="auto"/>
        <w:left w:val="none" w:sz="0" w:space="0" w:color="auto"/>
        <w:bottom w:val="none" w:sz="0" w:space="0" w:color="auto"/>
        <w:right w:val="none" w:sz="0" w:space="0" w:color="auto"/>
      </w:divBdr>
    </w:div>
    <w:div w:id="1470587739">
      <w:bodyDiv w:val="1"/>
      <w:marLeft w:val="0"/>
      <w:marRight w:val="0"/>
      <w:marTop w:val="0"/>
      <w:marBottom w:val="0"/>
      <w:divBdr>
        <w:top w:val="none" w:sz="0" w:space="0" w:color="auto"/>
        <w:left w:val="none" w:sz="0" w:space="0" w:color="auto"/>
        <w:bottom w:val="none" w:sz="0" w:space="0" w:color="auto"/>
        <w:right w:val="none" w:sz="0" w:space="0" w:color="auto"/>
      </w:divBdr>
      <w:divsChild>
        <w:div w:id="350767077">
          <w:marLeft w:val="547"/>
          <w:marRight w:val="0"/>
          <w:marTop w:val="0"/>
          <w:marBottom w:val="320"/>
          <w:divBdr>
            <w:top w:val="none" w:sz="0" w:space="0" w:color="auto"/>
            <w:left w:val="none" w:sz="0" w:space="0" w:color="auto"/>
            <w:bottom w:val="none" w:sz="0" w:space="0" w:color="auto"/>
            <w:right w:val="none" w:sz="0" w:space="0" w:color="auto"/>
          </w:divBdr>
        </w:div>
        <w:div w:id="2046639481">
          <w:marLeft w:val="547"/>
          <w:marRight w:val="0"/>
          <w:marTop w:val="0"/>
          <w:marBottom w:val="320"/>
          <w:divBdr>
            <w:top w:val="none" w:sz="0" w:space="0" w:color="auto"/>
            <w:left w:val="none" w:sz="0" w:space="0" w:color="auto"/>
            <w:bottom w:val="none" w:sz="0" w:space="0" w:color="auto"/>
            <w:right w:val="none" w:sz="0" w:space="0" w:color="auto"/>
          </w:divBdr>
        </w:div>
      </w:divsChild>
    </w:div>
    <w:div w:id="1483348597">
      <w:bodyDiv w:val="1"/>
      <w:marLeft w:val="0"/>
      <w:marRight w:val="0"/>
      <w:marTop w:val="0"/>
      <w:marBottom w:val="0"/>
      <w:divBdr>
        <w:top w:val="none" w:sz="0" w:space="0" w:color="auto"/>
        <w:left w:val="none" w:sz="0" w:space="0" w:color="auto"/>
        <w:bottom w:val="none" w:sz="0" w:space="0" w:color="auto"/>
        <w:right w:val="none" w:sz="0" w:space="0" w:color="auto"/>
      </w:divBdr>
    </w:div>
    <w:div w:id="1574194086">
      <w:bodyDiv w:val="1"/>
      <w:marLeft w:val="0"/>
      <w:marRight w:val="0"/>
      <w:marTop w:val="0"/>
      <w:marBottom w:val="0"/>
      <w:divBdr>
        <w:top w:val="none" w:sz="0" w:space="0" w:color="auto"/>
        <w:left w:val="none" w:sz="0" w:space="0" w:color="auto"/>
        <w:bottom w:val="none" w:sz="0" w:space="0" w:color="auto"/>
        <w:right w:val="none" w:sz="0" w:space="0" w:color="auto"/>
      </w:divBdr>
    </w:div>
    <w:div w:id="1652706928">
      <w:bodyDiv w:val="1"/>
      <w:marLeft w:val="0"/>
      <w:marRight w:val="0"/>
      <w:marTop w:val="0"/>
      <w:marBottom w:val="0"/>
      <w:divBdr>
        <w:top w:val="none" w:sz="0" w:space="0" w:color="auto"/>
        <w:left w:val="none" w:sz="0" w:space="0" w:color="auto"/>
        <w:bottom w:val="none" w:sz="0" w:space="0" w:color="auto"/>
        <w:right w:val="none" w:sz="0" w:space="0" w:color="auto"/>
      </w:divBdr>
    </w:div>
    <w:div w:id="1659653114">
      <w:bodyDiv w:val="1"/>
      <w:marLeft w:val="0"/>
      <w:marRight w:val="0"/>
      <w:marTop w:val="0"/>
      <w:marBottom w:val="0"/>
      <w:divBdr>
        <w:top w:val="none" w:sz="0" w:space="0" w:color="auto"/>
        <w:left w:val="none" w:sz="0" w:space="0" w:color="auto"/>
        <w:bottom w:val="none" w:sz="0" w:space="0" w:color="auto"/>
        <w:right w:val="none" w:sz="0" w:space="0" w:color="auto"/>
      </w:divBdr>
      <w:divsChild>
        <w:div w:id="407773334">
          <w:marLeft w:val="360"/>
          <w:marRight w:val="0"/>
          <w:marTop w:val="120"/>
          <w:marBottom w:val="120"/>
          <w:divBdr>
            <w:top w:val="none" w:sz="0" w:space="0" w:color="auto"/>
            <w:left w:val="none" w:sz="0" w:space="0" w:color="auto"/>
            <w:bottom w:val="none" w:sz="0" w:space="0" w:color="auto"/>
            <w:right w:val="none" w:sz="0" w:space="0" w:color="auto"/>
          </w:divBdr>
        </w:div>
        <w:div w:id="756246123">
          <w:marLeft w:val="1080"/>
          <w:marRight w:val="0"/>
          <w:marTop w:val="120"/>
          <w:marBottom w:val="120"/>
          <w:divBdr>
            <w:top w:val="none" w:sz="0" w:space="0" w:color="auto"/>
            <w:left w:val="none" w:sz="0" w:space="0" w:color="auto"/>
            <w:bottom w:val="none" w:sz="0" w:space="0" w:color="auto"/>
            <w:right w:val="none" w:sz="0" w:space="0" w:color="auto"/>
          </w:divBdr>
        </w:div>
        <w:div w:id="564266128">
          <w:marLeft w:val="360"/>
          <w:marRight w:val="0"/>
          <w:marTop w:val="120"/>
          <w:marBottom w:val="120"/>
          <w:divBdr>
            <w:top w:val="none" w:sz="0" w:space="0" w:color="auto"/>
            <w:left w:val="none" w:sz="0" w:space="0" w:color="auto"/>
            <w:bottom w:val="none" w:sz="0" w:space="0" w:color="auto"/>
            <w:right w:val="none" w:sz="0" w:space="0" w:color="auto"/>
          </w:divBdr>
        </w:div>
        <w:div w:id="1539859042">
          <w:marLeft w:val="360"/>
          <w:marRight w:val="0"/>
          <w:marTop w:val="120"/>
          <w:marBottom w:val="120"/>
          <w:divBdr>
            <w:top w:val="none" w:sz="0" w:space="0" w:color="auto"/>
            <w:left w:val="none" w:sz="0" w:space="0" w:color="auto"/>
            <w:bottom w:val="none" w:sz="0" w:space="0" w:color="auto"/>
            <w:right w:val="none" w:sz="0" w:space="0" w:color="auto"/>
          </w:divBdr>
        </w:div>
      </w:divsChild>
    </w:div>
    <w:div w:id="1758138589">
      <w:bodyDiv w:val="1"/>
      <w:marLeft w:val="0"/>
      <w:marRight w:val="0"/>
      <w:marTop w:val="0"/>
      <w:marBottom w:val="0"/>
      <w:divBdr>
        <w:top w:val="none" w:sz="0" w:space="0" w:color="auto"/>
        <w:left w:val="none" w:sz="0" w:space="0" w:color="auto"/>
        <w:bottom w:val="none" w:sz="0" w:space="0" w:color="auto"/>
        <w:right w:val="none" w:sz="0" w:space="0" w:color="auto"/>
      </w:divBdr>
    </w:div>
    <w:div w:id="1825970946">
      <w:bodyDiv w:val="1"/>
      <w:marLeft w:val="0"/>
      <w:marRight w:val="0"/>
      <w:marTop w:val="0"/>
      <w:marBottom w:val="0"/>
      <w:divBdr>
        <w:top w:val="none" w:sz="0" w:space="0" w:color="auto"/>
        <w:left w:val="none" w:sz="0" w:space="0" w:color="auto"/>
        <w:bottom w:val="none" w:sz="0" w:space="0" w:color="auto"/>
        <w:right w:val="none" w:sz="0" w:space="0" w:color="auto"/>
      </w:divBdr>
    </w:div>
    <w:div w:id="1887911010">
      <w:bodyDiv w:val="1"/>
      <w:marLeft w:val="0"/>
      <w:marRight w:val="0"/>
      <w:marTop w:val="0"/>
      <w:marBottom w:val="0"/>
      <w:divBdr>
        <w:top w:val="none" w:sz="0" w:space="0" w:color="auto"/>
        <w:left w:val="none" w:sz="0" w:space="0" w:color="auto"/>
        <w:bottom w:val="none" w:sz="0" w:space="0" w:color="auto"/>
        <w:right w:val="none" w:sz="0" w:space="0" w:color="auto"/>
      </w:divBdr>
    </w:div>
    <w:div w:id="2101631704">
      <w:bodyDiv w:val="1"/>
      <w:marLeft w:val="0"/>
      <w:marRight w:val="0"/>
      <w:marTop w:val="0"/>
      <w:marBottom w:val="0"/>
      <w:divBdr>
        <w:top w:val="none" w:sz="0" w:space="0" w:color="auto"/>
        <w:left w:val="none" w:sz="0" w:space="0" w:color="auto"/>
        <w:bottom w:val="none" w:sz="0" w:space="0" w:color="auto"/>
        <w:right w:val="none" w:sz="0" w:space="0" w:color="auto"/>
      </w:divBdr>
      <w:divsChild>
        <w:div w:id="467892790">
          <w:marLeft w:val="360"/>
          <w:marRight w:val="0"/>
          <w:marTop w:val="120"/>
          <w:marBottom w:val="120"/>
          <w:divBdr>
            <w:top w:val="none" w:sz="0" w:space="0" w:color="auto"/>
            <w:left w:val="none" w:sz="0" w:space="0" w:color="auto"/>
            <w:bottom w:val="none" w:sz="0" w:space="0" w:color="auto"/>
            <w:right w:val="none" w:sz="0" w:space="0" w:color="auto"/>
          </w:divBdr>
        </w:div>
        <w:div w:id="2007975473">
          <w:marLeft w:val="360"/>
          <w:marRight w:val="0"/>
          <w:marTop w:val="120"/>
          <w:marBottom w:val="120"/>
          <w:divBdr>
            <w:top w:val="none" w:sz="0" w:space="0" w:color="auto"/>
            <w:left w:val="none" w:sz="0" w:space="0" w:color="auto"/>
            <w:bottom w:val="none" w:sz="0" w:space="0" w:color="auto"/>
            <w:right w:val="none" w:sz="0" w:space="0" w:color="auto"/>
          </w:divBdr>
        </w:div>
        <w:div w:id="1145972615">
          <w:marLeft w:val="360"/>
          <w:marRight w:val="0"/>
          <w:marTop w:val="120"/>
          <w:marBottom w:val="120"/>
          <w:divBdr>
            <w:top w:val="none" w:sz="0" w:space="0" w:color="auto"/>
            <w:left w:val="none" w:sz="0" w:space="0" w:color="auto"/>
            <w:bottom w:val="none" w:sz="0" w:space="0" w:color="auto"/>
            <w:right w:val="none" w:sz="0" w:space="0" w:color="auto"/>
          </w:divBdr>
        </w:div>
        <w:div w:id="1481997337">
          <w:marLeft w:val="360"/>
          <w:marRight w:val="0"/>
          <w:marTop w:val="120"/>
          <w:marBottom w:val="120"/>
          <w:divBdr>
            <w:top w:val="none" w:sz="0" w:space="0" w:color="auto"/>
            <w:left w:val="none" w:sz="0" w:space="0" w:color="auto"/>
            <w:bottom w:val="none" w:sz="0" w:space="0" w:color="auto"/>
            <w:right w:val="none" w:sz="0" w:space="0" w:color="auto"/>
          </w:divBdr>
        </w:div>
      </w:divsChild>
    </w:div>
    <w:div w:id="2120294613">
      <w:bodyDiv w:val="1"/>
      <w:marLeft w:val="0"/>
      <w:marRight w:val="0"/>
      <w:marTop w:val="0"/>
      <w:marBottom w:val="0"/>
      <w:divBdr>
        <w:top w:val="none" w:sz="0" w:space="0" w:color="auto"/>
        <w:left w:val="none" w:sz="0" w:space="0" w:color="auto"/>
        <w:bottom w:val="none" w:sz="0" w:space="0" w:color="auto"/>
        <w:right w:val="none" w:sz="0" w:space="0" w:color="auto"/>
      </w:divBdr>
      <w:divsChild>
        <w:div w:id="510461168">
          <w:marLeft w:val="360"/>
          <w:marRight w:val="0"/>
          <w:marTop w:val="120"/>
          <w:marBottom w:val="120"/>
          <w:divBdr>
            <w:top w:val="none" w:sz="0" w:space="0" w:color="auto"/>
            <w:left w:val="none" w:sz="0" w:space="0" w:color="auto"/>
            <w:bottom w:val="none" w:sz="0" w:space="0" w:color="auto"/>
            <w:right w:val="none" w:sz="0" w:space="0" w:color="auto"/>
          </w:divBdr>
        </w:div>
      </w:divsChild>
    </w:div>
    <w:div w:id="21319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Domaleski</dc:creator>
  <cp:keywords/>
  <dc:description/>
  <cp:lastModifiedBy>Chris Domaleski</cp:lastModifiedBy>
  <cp:revision>2</cp:revision>
  <dcterms:created xsi:type="dcterms:W3CDTF">2023-03-30T20:48:00Z</dcterms:created>
  <dcterms:modified xsi:type="dcterms:W3CDTF">2023-03-30T20:48:00Z</dcterms:modified>
</cp:coreProperties>
</file>